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A14BB" w14:textId="7BFB24F8" w:rsidR="00BE3CE7" w:rsidRPr="004F0578" w:rsidRDefault="004D74A7" w:rsidP="004B15D0">
      <w:pPr>
        <w:pStyle w:val="Title"/>
        <w:spacing w:after="120"/>
        <w:rPr>
          <w:rFonts w:ascii="GibsonLight" w:eastAsia="Arial Unicode MS" w:hAnsi="GibsonLight"/>
          <w:spacing w:val="12"/>
        </w:rPr>
      </w:pPr>
      <w:r w:rsidRPr="004F0578">
        <w:rPr>
          <w:rFonts w:ascii="GibsonLight" w:eastAsia="Arial Unicode MS" w:hAnsi="GibsonLight"/>
          <w:spacing w:val="12"/>
        </w:rPr>
        <w:t xml:space="preserve"> </w:t>
      </w:r>
    </w:p>
    <w:p w14:paraId="783BB811" w14:textId="77777777" w:rsidR="009C17AF" w:rsidRPr="004F0578" w:rsidRDefault="00D75FA6" w:rsidP="004B15D0">
      <w:pPr>
        <w:pStyle w:val="Title"/>
        <w:spacing w:after="120"/>
        <w:rPr>
          <w:rFonts w:ascii="Gibson" w:eastAsia="Arial Unicode MS" w:hAnsi="Gibson"/>
          <w:spacing w:val="12"/>
          <w:sz w:val="80"/>
          <w:szCs w:val="80"/>
        </w:rPr>
      </w:pPr>
      <w:r w:rsidRPr="004F0578">
        <w:rPr>
          <w:rFonts w:ascii="Gibson" w:eastAsia="Arial Unicode MS" w:hAnsi="Gibson"/>
          <w:spacing w:val="12"/>
          <w:sz w:val="80"/>
          <w:szCs w:val="80"/>
        </w:rPr>
        <w:t xml:space="preserve">The Cost-Effectiveness Analysis (CEA) Registry </w:t>
      </w:r>
    </w:p>
    <w:p w14:paraId="2EB6C578" w14:textId="77777777" w:rsidR="00B87893" w:rsidRPr="004F0578" w:rsidRDefault="00B87893" w:rsidP="004B15D0">
      <w:pPr>
        <w:pStyle w:val="Title"/>
        <w:spacing w:after="120"/>
        <w:rPr>
          <w:rFonts w:ascii="GibsonLight" w:eastAsia="Arial Unicode MS" w:hAnsi="GibsonLight"/>
          <w:spacing w:val="12"/>
          <w:sz w:val="80"/>
          <w:szCs w:val="80"/>
        </w:rPr>
      </w:pPr>
    </w:p>
    <w:p w14:paraId="055E6251" w14:textId="257A443B" w:rsidR="00D75FA6" w:rsidRPr="004F0578" w:rsidRDefault="000C0DE9" w:rsidP="004B15D0">
      <w:pPr>
        <w:pStyle w:val="Title"/>
        <w:spacing w:after="120"/>
        <w:rPr>
          <w:rFonts w:ascii="GibsonLight" w:eastAsia="Arial Unicode MS" w:hAnsi="GibsonLight"/>
          <w:spacing w:val="12"/>
          <w:sz w:val="80"/>
          <w:szCs w:val="80"/>
        </w:rPr>
      </w:pPr>
      <w:r>
        <w:rPr>
          <w:rFonts w:ascii="GibsonLight" w:eastAsia="Arial Unicode MS" w:hAnsi="GibsonLight"/>
          <w:spacing w:val="12"/>
          <w:sz w:val="80"/>
          <w:szCs w:val="80"/>
        </w:rPr>
        <w:t xml:space="preserve">User </w:t>
      </w:r>
      <w:r w:rsidR="00B92855" w:rsidRPr="004F0578">
        <w:rPr>
          <w:rFonts w:ascii="GibsonLight" w:eastAsia="Arial Unicode MS" w:hAnsi="GibsonLight"/>
          <w:spacing w:val="12"/>
          <w:sz w:val="80"/>
          <w:szCs w:val="80"/>
        </w:rPr>
        <w:t>Manual</w:t>
      </w:r>
      <w:r w:rsidR="00D75FA6" w:rsidRPr="004F0578">
        <w:rPr>
          <w:rFonts w:ascii="GibsonLight" w:eastAsia="Arial Unicode MS" w:hAnsi="GibsonLight"/>
          <w:spacing w:val="12"/>
          <w:sz w:val="80"/>
          <w:szCs w:val="80"/>
        </w:rPr>
        <w:t xml:space="preserve"> </w:t>
      </w:r>
    </w:p>
    <w:p w14:paraId="10EE6331" w14:textId="77777777" w:rsidR="004B4C89" w:rsidRPr="004F0578" w:rsidRDefault="004B4C89" w:rsidP="004B15D0">
      <w:pPr>
        <w:pStyle w:val="BodyText2"/>
        <w:spacing w:after="120"/>
        <w:jc w:val="center"/>
        <w:rPr>
          <w:rFonts w:ascii="GibsonLight" w:eastAsia="Arial Unicode MS" w:hAnsi="GibsonLight" w:cs="Times New Roman"/>
          <w:b/>
          <w:bCs/>
          <w:spacing w:val="12"/>
          <w:sz w:val="40"/>
          <w:szCs w:val="40"/>
          <w14:shadow w14:blurRad="50800" w14:dist="38100" w14:dir="2700000" w14:sx="100000" w14:sy="100000" w14:kx="0" w14:ky="0" w14:algn="tl">
            <w14:srgbClr w14:val="000000">
              <w14:alpha w14:val="60000"/>
            </w14:srgbClr>
          </w14:shadow>
        </w:rPr>
      </w:pPr>
    </w:p>
    <w:p w14:paraId="24601742" w14:textId="7C29D020" w:rsidR="00D75FA6" w:rsidRPr="004F0578" w:rsidRDefault="00D75FA6" w:rsidP="004B15D0">
      <w:pPr>
        <w:pStyle w:val="BodyText2"/>
        <w:spacing w:after="120"/>
        <w:jc w:val="center"/>
        <w:rPr>
          <w:rFonts w:ascii="GibsonLight" w:eastAsia="Arial Unicode MS" w:hAnsi="GibsonLight" w:cs="Times New Roman"/>
          <w:b/>
          <w:bCs/>
          <w:spacing w:val="12"/>
          <w:sz w:val="40"/>
          <w:szCs w:val="40"/>
          <w14:shadow w14:blurRad="50800" w14:dist="38100" w14:dir="2700000" w14:sx="100000" w14:sy="100000" w14:kx="0" w14:ky="0" w14:algn="tl">
            <w14:srgbClr w14:val="000000">
              <w14:alpha w14:val="60000"/>
            </w14:srgbClr>
          </w14:shadow>
        </w:rPr>
      </w:pPr>
    </w:p>
    <w:p w14:paraId="15690B42" w14:textId="5B9592A7" w:rsidR="00D75FA6" w:rsidRPr="004F0578" w:rsidRDefault="00D75FA6" w:rsidP="004B15D0">
      <w:pPr>
        <w:pStyle w:val="BodyText2"/>
        <w:spacing w:after="120"/>
        <w:jc w:val="center"/>
        <w:rPr>
          <w:rFonts w:ascii="GibsonLight" w:eastAsia="Arial Unicode MS" w:hAnsi="GibsonLight" w:cs="Times New Roman"/>
          <w:b/>
          <w:bCs/>
          <w:spacing w:val="12"/>
          <w:sz w:val="32"/>
          <w:szCs w:val="32"/>
        </w:rPr>
      </w:pPr>
    </w:p>
    <w:p w14:paraId="235F2FFF" w14:textId="77777777" w:rsidR="009035A7" w:rsidRPr="004F0578" w:rsidRDefault="009035A7" w:rsidP="004B15D0">
      <w:pPr>
        <w:pStyle w:val="BodyText2"/>
        <w:spacing w:after="120"/>
        <w:jc w:val="center"/>
        <w:rPr>
          <w:rFonts w:ascii="GibsonLight" w:eastAsia="Arial Unicode MS" w:hAnsi="GibsonLight" w:cs="Times New Roman"/>
          <w:b/>
          <w:bCs/>
          <w:spacing w:val="12"/>
          <w:sz w:val="32"/>
          <w:szCs w:val="32"/>
        </w:rPr>
      </w:pPr>
    </w:p>
    <w:p w14:paraId="5DD177C3" w14:textId="77777777" w:rsidR="00D8620A" w:rsidRPr="004F0578" w:rsidRDefault="00D8620A" w:rsidP="004B15D0">
      <w:pPr>
        <w:pStyle w:val="BodyText2"/>
        <w:spacing w:after="120"/>
        <w:jc w:val="center"/>
        <w:rPr>
          <w:rFonts w:ascii="GibsonLight" w:eastAsia="Arial Unicode MS" w:hAnsi="GibsonLight" w:cs="Times New Roman"/>
          <w:b/>
          <w:bCs/>
          <w:spacing w:val="12"/>
          <w:sz w:val="32"/>
          <w:szCs w:val="32"/>
        </w:rPr>
      </w:pPr>
    </w:p>
    <w:p w14:paraId="34C252F4" w14:textId="77777777" w:rsidR="00B87893" w:rsidRPr="004F0578" w:rsidRDefault="00B87893" w:rsidP="004B15D0">
      <w:pPr>
        <w:spacing w:after="120"/>
        <w:jc w:val="center"/>
        <w:rPr>
          <w:rFonts w:ascii="GibsonLight" w:eastAsia="Arial Unicode MS" w:hAnsi="GibsonLight"/>
          <w:b/>
          <w:i/>
          <w:color w:val="000000"/>
          <w:spacing w:val="12"/>
          <w:sz w:val="32"/>
          <w:szCs w:val="36"/>
        </w:rPr>
      </w:pPr>
    </w:p>
    <w:p w14:paraId="1DF523A0" w14:textId="77777777" w:rsidR="00B87893" w:rsidRDefault="00B87893" w:rsidP="004B15D0">
      <w:pPr>
        <w:spacing w:after="120"/>
        <w:jc w:val="center"/>
        <w:rPr>
          <w:rFonts w:ascii="GibsonLight" w:eastAsia="Arial Unicode MS" w:hAnsi="GibsonLight"/>
          <w:b/>
          <w:i/>
          <w:color w:val="000000"/>
          <w:spacing w:val="12"/>
          <w:sz w:val="32"/>
          <w:szCs w:val="36"/>
        </w:rPr>
      </w:pPr>
    </w:p>
    <w:p w14:paraId="79705C73" w14:textId="77777777" w:rsidR="00E20483" w:rsidRDefault="00E20483" w:rsidP="004B15D0">
      <w:pPr>
        <w:spacing w:after="120"/>
        <w:jc w:val="center"/>
        <w:rPr>
          <w:rFonts w:ascii="GibsonLight" w:eastAsia="Arial Unicode MS" w:hAnsi="GibsonLight"/>
          <w:b/>
          <w:i/>
          <w:color w:val="000000"/>
          <w:spacing w:val="12"/>
          <w:sz w:val="32"/>
          <w:szCs w:val="36"/>
        </w:rPr>
      </w:pPr>
    </w:p>
    <w:p w14:paraId="78B23E0E" w14:textId="77777777" w:rsidR="00E20483" w:rsidRPr="004F0578" w:rsidRDefault="00E20483" w:rsidP="004B15D0">
      <w:pPr>
        <w:spacing w:after="120"/>
        <w:jc w:val="center"/>
        <w:rPr>
          <w:rFonts w:ascii="GibsonLight" w:eastAsia="Arial Unicode MS" w:hAnsi="GibsonLight"/>
          <w:b/>
          <w:i/>
          <w:color w:val="000000"/>
          <w:spacing w:val="12"/>
          <w:sz w:val="32"/>
          <w:szCs w:val="36"/>
        </w:rPr>
      </w:pPr>
    </w:p>
    <w:p w14:paraId="6E133580" w14:textId="77777777" w:rsidR="00B87893" w:rsidRPr="004F0578" w:rsidRDefault="00B87893" w:rsidP="004B15D0">
      <w:pPr>
        <w:spacing w:after="120"/>
        <w:jc w:val="center"/>
        <w:rPr>
          <w:rFonts w:ascii="GibsonLight" w:eastAsia="Arial Unicode MS" w:hAnsi="GibsonLight"/>
          <w:b/>
          <w:i/>
          <w:color w:val="000000"/>
          <w:spacing w:val="12"/>
          <w:sz w:val="32"/>
          <w:szCs w:val="36"/>
        </w:rPr>
      </w:pPr>
    </w:p>
    <w:p w14:paraId="47EC4AFB" w14:textId="77777777" w:rsidR="004B4C89" w:rsidRPr="004F0578" w:rsidRDefault="004B4C89" w:rsidP="004B15D0">
      <w:pPr>
        <w:spacing w:after="120"/>
        <w:jc w:val="center"/>
        <w:rPr>
          <w:rFonts w:ascii="Gibson" w:eastAsia="Arial Unicode MS" w:hAnsi="Gibson"/>
          <w:b/>
          <w:color w:val="000000"/>
          <w:spacing w:val="12"/>
          <w:sz w:val="32"/>
          <w:szCs w:val="36"/>
        </w:rPr>
      </w:pPr>
      <w:r w:rsidRPr="004F0578">
        <w:rPr>
          <w:rFonts w:ascii="Gibson" w:eastAsia="Arial Unicode MS" w:hAnsi="Gibson"/>
          <w:b/>
          <w:color w:val="000000"/>
          <w:spacing w:val="12"/>
          <w:sz w:val="32"/>
          <w:szCs w:val="36"/>
        </w:rPr>
        <w:t>Center for the Evaluation of Value</w:t>
      </w:r>
      <w:r w:rsidR="0010214D" w:rsidRPr="004F0578">
        <w:rPr>
          <w:rFonts w:ascii="Gibson" w:eastAsia="Arial Unicode MS" w:hAnsi="Gibson"/>
          <w:b/>
          <w:color w:val="000000"/>
          <w:spacing w:val="12"/>
          <w:sz w:val="32"/>
          <w:szCs w:val="36"/>
        </w:rPr>
        <w:t xml:space="preserve"> and</w:t>
      </w:r>
      <w:r w:rsidRPr="004F0578">
        <w:rPr>
          <w:rFonts w:ascii="Gibson" w:eastAsia="Arial Unicode MS" w:hAnsi="Gibson"/>
          <w:b/>
          <w:color w:val="000000"/>
          <w:spacing w:val="12"/>
          <w:sz w:val="32"/>
          <w:szCs w:val="36"/>
        </w:rPr>
        <w:t xml:space="preserve"> Risk in Health</w:t>
      </w:r>
    </w:p>
    <w:p w14:paraId="4F05628A" w14:textId="77777777" w:rsidR="004B4C89" w:rsidRPr="004F0578" w:rsidRDefault="004B4C89" w:rsidP="004B15D0">
      <w:pPr>
        <w:spacing w:after="120"/>
        <w:jc w:val="center"/>
        <w:rPr>
          <w:rFonts w:ascii="GibsonLight" w:eastAsia="Arial Unicode MS" w:hAnsi="GibsonLight"/>
          <w:b/>
          <w:color w:val="000000"/>
          <w:spacing w:val="12"/>
          <w:sz w:val="22"/>
          <w:szCs w:val="22"/>
        </w:rPr>
      </w:pPr>
      <w:r w:rsidRPr="004F0578">
        <w:rPr>
          <w:rFonts w:ascii="GibsonLight" w:eastAsia="Arial Unicode MS" w:hAnsi="GibsonLight"/>
          <w:b/>
          <w:color w:val="000000"/>
          <w:spacing w:val="12"/>
          <w:sz w:val="22"/>
          <w:szCs w:val="22"/>
        </w:rPr>
        <w:t>Institute for Clinical Research &amp; Health Policy Studies, Tufts Medical Center</w:t>
      </w:r>
    </w:p>
    <w:p w14:paraId="1CA21C6E" w14:textId="77777777" w:rsidR="00C82518" w:rsidRPr="004F0578" w:rsidRDefault="004B4C89" w:rsidP="004B15D0">
      <w:pPr>
        <w:spacing w:after="120"/>
        <w:jc w:val="center"/>
        <w:rPr>
          <w:rFonts w:ascii="GibsonLight" w:eastAsia="Arial Unicode MS" w:hAnsi="GibsonLight"/>
          <w:b/>
          <w:color w:val="000000"/>
          <w:spacing w:val="12"/>
          <w:sz w:val="22"/>
          <w:szCs w:val="22"/>
        </w:rPr>
      </w:pPr>
      <w:r w:rsidRPr="004F0578">
        <w:rPr>
          <w:rFonts w:ascii="GibsonLight" w:eastAsia="Arial Unicode MS" w:hAnsi="GibsonLight"/>
          <w:b/>
          <w:color w:val="000000"/>
          <w:spacing w:val="12"/>
          <w:sz w:val="22"/>
          <w:szCs w:val="22"/>
        </w:rPr>
        <w:t>800 Washington Street, #063</w:t>
      </w:r>
    </w:p>
    <w:p w14:paraId="175DF930" w14:textId="54675988" w:rsidR="00034CF6" w:rsidRDefault="004B4C89" w:rsidP="004B15D0">
      <w:pPr>
        <w:spacing w:after="120"/>
        <w:jc w:val="center"/>
        <w:rPr>
          <w:rFonts w:ascii="GibsonLight" w:eastAsia="Arial Unicode MS" w:hAnsi="GibsonLight"/>
          <w:b/>
          <w:spacing w:val="12"/>
          <w:sz w:val="22"/>
          <w:szCs w:val="22"/>
        </w:rPr>
      </w:pPr>
      <w:r w:rsidRPr="004F0578">
        <w:rPr>
          <w:rFonts w:ascii="GibsonLight" w:eastAsia="Arial Unicode MS" w:hAnsi="GibsonLight"/>
          <w:b/>
          <w:spacing w:val="12"/>
          <w:sz w:val="22"/>
          <w:szCs w:val="22"/>
        </w:rPr>
        <w:t>Boston, MA</w:t>
      </w:r>
      <w:r w:rsidR="0049113F" w:rsidRPr="004F0578">
        <w:rPr>
          <w:rFonts w:ascii="GibsonLight" w:eastAsia="Arial Unicode MS" w:hAnsi="GibsonLight"/>
          <w:b/>
          <w:spacing w:val="12"/>
          <w:sz w:val="22"/>
          <w:szCs w:val="22"/>
        </w:rPr>
        <w:t xml:space="preserve"> </w:t>
      </w:r>
      <w:r w:rsidRPr="004F0578">
        <w:rPr>
          <w:rFonts w:ascii="GibsonLight" w:eastAsia="Arial Unicode MS" w:hAnsi="GibsonLight"/>
          <w:b/>
          <w:spacing w:val="12"/>
          <w:sz w:val="22"/>
          <w:szCs w:val="22"/>
        </w:rPr>
        <w:t>02111</w:t>
      </w:r>
    </w:p>
    <w:p w14:paraId="1BE2A8D3" w14:textId="77777777" w:rsidR="00034CF6" w:rsidRDefault="00034CF6">
      <w:pPr>
        <w:autoSpaceDE/>
        <w:autoSpaceDN/>
        <w:rPr>
          <w:rFonts w:ascii="GibsonLight" w:eastAsia="Arial Unicode MS" w:hAnsi="GibsonLight"/>
          <w:b/>
          <w:spacing w:val="12"/>
          <w:sz w:val="22"/>
          <w:szCs w:val="22"/>
        </w:rPr>
      </w:pPr>
      <w:r>
        <w:rPr>
          <w:rFonts w:ascii="GibsonLight" w:eastAsia="Arial Unicode MS" w:hAnsi="GibsonLight"/>
          <w:b/>
          <w:spacing w:val="12"/>
          <w:sz w:val="22"/>
          <w:szCs w:val="22"/>
        </w:rPr>
        <w:br w:type="page"/>
      </w:r>
    </w:p>
    <w:p w14:paraId="28014957" w14:textId="77777777" w:rsidR="00901B67" w:rsidRPr="004F0578" w:rsidRDefault="00901B67" w:rsidP="004B15D0">
      <w:pPr>
        <w:spacing w:after="120"/>
        <w:jc w:val="center"/>
        <w:rPr>
          <w:rFonts w:ascii="GibsonLight" w:eastAsia="Arial Unicode MS" w:hAnsi="GibsonLight"/>
          <w:b/>
          <w:spacing w:val="12"/>
          <w:sz w:val="22"/>
          <w:szCs w:val="22"/>
        </w:rPr>
      </w:pPr>
    </w:p>
    <w:bookmarkStart w:id="0" w:name="OLE_LINK5" w:displacedByCustomXml="next"/>
    <w:bookmarkStart w:id="1" w:name="OLE_LINK6" w:displacedByCustomXml="next"/>
    <w:sdt>
      <w:sdtPr>
        <w:rPr>
          <w:rFonts w:ascii="GibsonLight" w:eastAsia="Arial Unicode MS" w:hAnsi="GibsonLight" w:cs="Times New Roman"/>
          <w:caps w:val="0"/>
          <w:color w:val="auto"/>
          <w:spacing w:val="12"/>
          <w:sz w:val="40"/>
          <w:szCs w:val="40"/>
        </w:rPr>
        <w:id w:val="-826508740"/>
        <w:docPartObj>
          <w:docPartGallery w:val="Table of Contents"/>
          <w:docPartUnique/>
        </w:docPartObj>
      </w:sdtPr>
      <w:sdtEndPr>
        <w:rPr>
          <w:b/>
          <w:bCs/>
          <w:noProof/>
          <w:sz w:val="20"/>
          <w:szCs w:val="20"/>
        </w:rPr>
      </w:sdtEndPr>
      <w:sdtContent>
        <w:p w14:paraId="6ED60B39" w14:textId="08DC77ED" w:rsidR="00E3371F" w:rsidRPr="004F0578" w:rsidRDefault="009F13E7" w:rsidP="004B15D0">
          <w:pPr>
            <w:pStyle w:val="TOCHeading"/>
            <w:numPr>
              <w:ilvl w:val="0"/>
              <w:numId w:val="0"/>
            </w:numPr>
            <w:spacing w:before="0" w:after="120" w:line="240" w:lineRule="auto"/>
            <w:rPr>
              <w:rFonts w:ascii="GibsonLight" w:eastAsia="Arial Unicode MS" w:hAnsi="GibsonLight" w:cs="Times New Roman"/>
              <w:b/>
              <w:color w:val="auto"/>
              <w:spacing w:val="12"/>
              <w:sz w:val="40"/>
              <w:szCs w:val="40"/>
            </w:rPr>
          </w:pPr>
          <w:r w:rsidRPr="004F0578">
            <w:rPr>
              <w:rFonts w:ascii="GibsonLight" w:eastAsia="Arial Unicode MS" w:hAnsi="GibsonLight" w:cs="Times New Roman"/>
              <w:b/>
              <w:color w:val="auto"/>
              <w:spacing w:val="12"/>
              <w:sz w:val="40"/>
              <w:szCs w:val="40"/>
            </w:rPr>
            <w:t xml:space="preserve">Table of </w:t>
          </w:r>
          <w:r w:rsidR="00E3371F" w:rsidRPr="004F0578">
            <w:rPr>
              <w:rFonts w:ascii="GibsonLight" w:eastAsia="Arial Unicode MS" w:hAnsi="GibsonLight" w:cs="Times New Roman"/>
              <w:b/>
              <w:color w:val="auto"/>
              <w:spacing w:val="12"/>
              <w:sz w:val="40"/>
              <w:szCs w:val="40"/>
            </w:rPr>
            <w:t>Contents</w:t>
          </w:r>
        </w:p>
        <w:p w14:paraId="2ED1E612" w14:textId="77777777" w:rsidR="00E20483" w:rsidRDefault="00E3371F">
          <w:pPr>
            <w:pStyle w:val="TOC1"/>
            <w:rPr>
              <w:rFonts w:asciiTheme="minorHAnsi" w:eastAsiaTheme="minorEastAsia" w:hAnsiTheme="minorHAnsi" w:cstheme="minorBidi"/>
              <w:b w:val="0"/>
              <w:bCs w:val="0"/>
              <w:caps w:val="0"/>
              <w:sz w:val="22"/>
              <w:szCs w:val="22"/>
              <w14:shadow w14:blurRad="0" w14:dist="0" w14:dir="0" w14:sx="0" w14:sy="0" w14:kx="0" w14:ky="0" w14:algn="none">
                <w14:srgbClr w14:val="000000"/>
              </w14:shadow>
              <w14:textOutline w14:w="0" w14:cap="rnd" w14:cmpd="sng" w14:algn="ctr">
                <w14:noFill/>
                <w14:prstDash w14:val="solid"/>
                <w14:bevel/>
              </w14:textOutline>
            </w:rPr>
          </w:pPr>
          <w:r w:rsidRPr="004F0578">
            <w:rPr>
              <w:rFonts w:ascii="GibsonLight" w:eastAsia="Arial Unicode MS" w:hAnsi="GibsonLight"/>
              <w:spacing w:val="12"/>
              <w:sz w:val="22"/>
              <w:szCs w:val="22"/>
            </w:rPr>
            <w:fldChar w:fldCharType="begin"/>
          </w:r>
          <w:r w:rsidRPr="004F0578">
            <w:rPr>
              <w:rFonts w:ascii="GibsonLight" w:eastAsia="Arial Unicode MS" w:hAnsi="GibsonLight"/>
              <w:spacing w:val="12"/>
              <w:sz w:val="22"/>
              <w:szCs w:val="22"/>
            </w:rPr>
            <w:instrText xml:space="preserve"> TOC \o "1-3" \h \z \u </w:instrText>
          </w:r>
          <w:r w:rsidRPr="004F0578">
            <w:rPr>
              <w:rFonts w:ascii="GibsonLight" w:eastAsia="Arial Unicode MS" w:hAnsi="GibsonLight"/>
              <w:spacing w:val="12"/>
              <w:sz w:val="22"/>
              <w:szCs w:val="22"/>
            </w:rPr>
            <w:fldChar w:fldCharType="separate"/>
          </w:r>
          <w:hyperlink w:anchor="_Toc100072024" w:history="1">
            <w:r w:rsidR="00E20483" w:rsidRPr="00136A60">
              <w:rPr>
                <w:rStyle w:val="Hyperlink"/>
                <w:rFonts w:ascii="Gibson" w:eastAsia="Arial Unicode MS" w:hAnsi="Gibson"/>
                <w:spacing w:val="12"/>
              </w:rPr>
              <w:t>About the CEA Registry</w:t>
            </w:r>
            <w:r w:rsidR="00E20483">
              <w:rPr>
                <w:webHidden/>
              </w:rPr>
              <w:tab/>
            </w:r>
            <w:r w:rsidR="00E20483">
              <w:rPr>
                <w:webHidden/>
              </w:rPr>
              <w:fldChar w:fldCharType="begin"/>
            </w:r>
            <w:r w:rsidR="00E20483">
              <w:rPr>
                <w:webHidden/>
              </w:rPr>
              <w:instrText xml:space="preserve"> PAGEREF _Toc100072024 \h </w:instrText>
            </w:r>
            <w:r w:rsidR="00E20483">
              <w:rPr>
                <w:webHidden/>
              </w:rPr>
            </w:r>
            <w:r w:rsidR="00E20483">
              <w:rPr>
                <w:webHidden/>
              </w:rPr>
              <w:fldChar w:fldCharType="separate"/>
            </w:r>
            <w:r w:rsidR="00E20483">
              <w:rPr>
                <w:webHidden/>
              </w:rPr>
              <w:t>3</w:t>
            </w:r>
            <w:r w:rsidR="00E20483">
              <w:rPr>
                <w:webHidden/>
              </w:rPr>
              <w:fldChar w:fldCharType="end"/>
            </w:r>
          </w:hyperlink>
        </w:p>
        <w:p w14:paraId="4573FEF4" w14:textId="77777777" w:rsidR="00E20483" w:rsidRDefault="008A4CA2">
          <w:pPr>
            <w:pStyle w:val="TOC1"/>
            <w:rPr>
              <w:rFonts w:asciiTheme="minorHAnsi" w:eastAsiaTheme="minorEastAsia" w:hAnsiTheme="minorHAnsi" w:cstheme="minorBidi"/>
              <w:b w:val="0"/>
              <w:bCs w:val="0"/>
              <w:caps w:val="0"/>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00072025" w:history="1">
            <w:r w:rsidR="00E20483" w:rsidRPr="00136A60">
              <w:rPr>
                <w:rStyle w:val="Hyperlink"/>
                <w:rFonts w:ascii="Gibson" w:eastAsia="Arial Unicode MS" w:hAnsi="Gibson"/>
                <w:spacing w:val="12"/>
              </w:rPr>
              <w:t>Database Structure</w:t>
            </w:r>
            <w:r w:rsidR="00E20483">
              <w:rPr>
                <w:webHidden/>
              </w:rPr>
              <w:tab/>
            </w:r>
            <w:r w:rsidR="00E20483">
              <w:rPr>
                <w:webHidden/>
              </w:rPr>
              <w:fldChar w:fldCharType="begin"/>
            </w:r>
            <w:r w:rsidR="00E20483">
              <w:rPr>
                <w:webHidden/>
              </w:rPr>
              <w:instrText xml:space="preserve"> PAGEREF _Toc100072025 \h </w:instrText>
            </w:r>
            <w:r w:rsidR="00E20483">
              <w:rPr>
                <w:webHidden/>
              </w:rPr>
            </w:r>
            <w:r w:rsidR="00E20483">
              <w:rPr>
                <w:webHidden/>
              </w:rPr>
              <w:fldChar w:fldCharType="separate"/>
            </w:r>
            <w:r w:rsidR="00E20483">
              <w:rPr>
                <w:webHidden/>
              </w:rPr>
              <w:t>4</w:t>
            </w:r>
            <w:r w:rsidR="00E20483">
              <w:rPr>
                <w:webHidden/>
              </w:rPr>
              <w:fldChar w:fldCharType="end"/>
            </w:r>
          </w:hyperlink>
        </w:p>
        <w:p w14:paraId="0E08BC3F" w14:textId="77777777" w:rsidR="00E20483" w:rsidRDefault="008A4CA2">
          <w:pPr>
            <w:pStyle w:val="TOC1"/>
            <w:rPr>
              <w:rFonts w:asciiTheme="minorHAnsi" w:eastAsiaTheme="minorEastAsia" w:hAnsiTheme="minorHAnsi" w:cstheme="minorBidi"/>
              <w:b w:val="0"/>
              <w:bCs w:val="0"/>
              <w:caps w:val="0"/>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00072026" w:history="1">
            <w:r w:rsidR="00E20483" w:rsidRPr="00136A60">
              <w:rPr>
                <w:rStyle w:val="Hyperlink"/>
                <w:rFonts w:ascii="Gibson" w:eastAsia="Arial Unicode MS" w:hAnsi="Gibson"/>
                <w:spacing w:val="12"/>
              </w:rPr>
              <w:t>Data Collection Methodology</w:t>
            </w:r>
            <w:r w:rsidR="00E20483">
              <w:rPr>
                <w:webHidden/>
              </w:rPr>
              <w:tab/>
            </w:r>
            <w:r w:rsidR="00E20483">
              <w:rPr>
                <w:webHidden/>
              </w:rPr>
              <w:fldChar w:fldCharType="begin"/>
            </w:r>
            <w:r w:rsidR="00E20483">
              <w:rPr>
                <w:webHidden/>
              </w:rPr>
              <w:instrText xml:space="preserve"> PAGEREF _Toc100072026 \h </w:instrText>
            </w:r>
            <w:r w:rsidR="00E20483">
              <w:rPr>
                <w:webHidden/>
              </w:rPr>
            </w:r>
            <w:r w:rsidR="00E20483">
              <w:rPr>
                <w:webHidden/>
              </w:rPr>
              <w:fldChar w:fldCharType="separate"/>
            </w:r>
            <w:r w:rsidR="00E20483">
              <w:rPr>
                <w:webHidden/>
              </w:rPr>
              <w:t>5</w:t>
            </w:r>
            <w:r w:rsidR="00E20483">
              <w:rPr>
                <w:webHidden/>
              </w:rPr>
              <w:fldChar w:fldCharType="end"/>
            </w:r>
          </w:hyperlink>
        </w:p>
        <w:p w14:paraId="002A7C0E" w14:textId="77777777" w:rsidR="00E20483" w:rsidRDefault="008A4CA2">
          <w:pPr>
            <w:pStyle w:val="TOC1"/>
            <w:rPr>
              <w:rFonts w:asciiTheme="minorHAnsi" w:eastAsiaTheme="minorEastAsia" w:hAnsiTheme="minorHAnsi" w:cstheme="minorBidi"/>
              <w:b w:val="0"/>
              <w:bCs w:val="0"/>
              <w:caps w:val="0"/>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00072027" w:history="1">
            <w:r w:rsidR="00E20483" w:rsidRPr="00136A60">
              <w:rPr>
                <w:rStyle w:val="Hyperlink"/>
                <w:rFonts w:ascii="Gibson" w:eastAsia="Arial Unicode MS" w:hAnsi="Gibson" w:cstheme="minorHAnsi"/>
                <w:spacing w:val="12"/>
              </w:rPr>
              <w:t>Database Glossary</w:t>
            </w:r>
            <w:r w:rsidR="00E20483">
              <w:rPr>
                <w:webHidden/>
              </w:rPr>
              <w:tab/>
            </w:r>
            <w:r w:rsidR="00E20483">
              <w:rPr>
                <w:webHidden/>
              </w:rPr>
              <w:fldChar w:fldCharType="begin"/>
            </w:r>
            <w:r w:rsidR="00E20483">
              <w:rPr>
                <w:webHidden/>
              </w:rPr>
              <w:instrText xml:space="preserve"> PAGEREF _Toc100072027 \h </w:instrText>
            </w:r>
            <w:r w:rsidR="00E20483">
              <w:rPr>
                <w:webHidden/>
              </w:rPr>
            </w:r>
            <w:r w:rsidR="00E20483">
              <w:rPr>
                <w:webHidden/>
              </w:rPr>
              <w:fldChar w:fldCharType="separate"/>
            </w:r>
            <w:r w:rsidR="00E20483">
              <w:rPr>
                <w:webHidden/>
              </w:rPr>
              <w:t>8</w:t>
            </w:r>
            <w:r w:rsidR="00E20483">
              <w:rPr>
                <w:webHidden/>
              </w:rPr>
              <w:fldChar w:fldCharType="end"/>
            </w:r>
          </w:hyperlink>
        </w:p>
        <w:p w14:paraId="78E5DD47" w14:textId="77777777" w:rsidR="00E20483" w:rsidRDefault="008A4CA2">
          <w:pPr>
            <w:pStyle w:val="TOC2"/>
            <w:rPr>
              <w:rFonts w:asciiTheme="minorHAnsi" w:eastAsiaTheme="minorEastAsia" w:hAnsiTheme="minorHAnsi" w:cstheme="minorBidi"/>
              <w:bCs w:val="0"/>
              <w:smallCaps w:val="0"/>
              <w:sz w:val="22"/>
              <w:szCs w:val="22"/>
            </w:rPr>
          </w:pPr>
          <w:hyperlink w:anchor="_Toc100072028" w:history="1">
            <w:r w:rsidR="00E20483" w:rsidRPr="00136A60">
              <w:rPr>
                <w:rStyle w:val="Hyperlink"/>
                <w:rFonts w:ascii="Gibson" w:eastAsia="Arial Unicode MS" w:hAnsi="Gibson"/>
                <w:spacing w:val="12"/>
              </w:rPr>
              <w:t>Methods Form</w:t>
            </w:r>
            <w:r w:rsidR="00E20483">
              <w:rPr>
                <w:webHidden/>
              </w:rPr>
              <w:tab/>
            </w:r>
            <w:r w:rsidR="00E20483">
              <w:rPr>
                <w:webHidden/>
              </w:rPr>
              <w:fldChar w:fldCharType="begin"/>
            </w:r>
            <w:r w:rsidR="00E20483">
              <w:rPr>
                <w:webHidden/>
              </w:rPr>
              <w:instrText xml:space="preserve"> PAGEREF _Toc100072028 \h </w:instrText>
            </w:r>
            <w:r w:rsidR="00E20483">
              <w:rPr>
                <w:webHidden/>
              </w:rPr>
            </w:r>
            <w:r w:rsidR="00E20483">
              <w:rPr>
                <w:webHidden/>
              </w:rPr>
              <w:fldChar w:fldCharType="separate"/>
            </w:r>
            <w:r w:rsidR="00E20483">
              <w:rPr>
                <w:webHidden/>
              </w:rPr>
              <w:t>8</w:t>
            </w:r>
            <w:r w:rsidR="00E20483">
              <w:rPr>
                <w:webHidden/>
              </w:rPr>
              <w:fldChar w:fldCharType="end"/>
            </w:r>
          </w:hyperlink>
        </w:p>
        <w:p w14:paraId="2566F5D7" w14:textId="77777777" w:rsidR="00E20483" w:rsidRDefault="008A4CA2">
          <w:pPr>
            <w:pStyle w:val="TOC3"/>
            <w:rPr>
              <w:rFonts w:asciiTheme="minorHAnsi" w:eastAsiaTheme="minorEastAsia" w:hAnsiTheme="minorHAnsi" w:cstheme="minorBidi"/>
              <w:sz w:val="22"/>
              <w:szCs w:val="22"/>
            </w:rPr>
          </w:pPr>
          <w:hyperlink w:anchor="_Toc100072029" w:history="1">
            <w:r w:rsidR="00E20483" w:rsidRPr="00136A60">
              <w:rPr>
                <w:rStyle w:val="Hyperlink"/>
                <w:rFonts w:ascii="GibsonLight" w:eastAsia="Arial Unicode MS" w:hAnsi="GibsonLight"/>
                <w:spacing w:val="12"/>
              </w:rPr>
              <w:t>Article Information</w:t>
            </w:r>
            <w:r w:rsidR="00E20483">
              <w:rPr>
                <w:webHidden/>
              </w:rPr>
              <w:tab/>
            </w:r>
            <w:r w:rsidR="00E20483">
              <w:rPr>
                <w:webHidden/>
              </w:rPr>
              <w:fldChar w:fldCharType="begin"/>
            </w:r>
            <w:r w:rsidR="00E20483">
              <w:rPr>
                <w:webHidden/>
              </w:rPr>
              <w:instrText xml:space="preserve"> PAGEREF _Toc100072029 \h </w:instrText>
            </w:r>
            <w:r w:rsidR="00E20483">
              <w:rPr>
                <w:webHidden/>
              </w:rPr>
            </w:r>
            <w:r w:rsidR="00E20483">
              <w:rPr>
                <w:webHidden/>
              </w:rPr>
              <w:fldChar w:fldCharType="separate"/>
            </w:r>
            <w:r w:rsidR="00E20483">
              <w:rPr>
                <w:webHidden/>
              </w:rPr>
              <w:t>8</w:t>
            </w:r>
            <w:r w:rsidR="00E20483">
              <w:rPr>
                <w:webHidden/>
              </w:rPr>
              <w:fldChar w:fldCharType="end"/>
            </w:r>
          </w:hyperlink>
        </w:p>
        <w:p w14:paraId="79F20382" w14:textId="77777777" w:rsidR="00E20483" w:rsidRDefault="008A4CA2">
          <w:pPr>
            <w:pStyle w:val="TOC3"/>
            <w:rPr>
              <w:rFonts w:asciiTheme="minorHAnsi" w:eastAsiaTheme="minorEastAsia" w:hAnsiTheme="minorHAnsi" w:cstheme="minorBidi"/>
              <w:sz w:val="22"/>
              <w:szCs w:val="22"/>
            </w:rPr>
          </w:pPr>
          <w:hyperlink w:anchor="_Toc100072030" w:history="1">
            <w:r w:rsidR="00E20483" w:rsidRPr="00136A60">
              <w:rPr>
                <w:rStyle w:val="Hyperlink"/>
                <w:rFonts w:ascii="GibsonLight" w:eastAsia="Arial Unicode MS" w:hAnsi="GibsonLight"/>
                <w:spacing w:val="12"/>
              </w:rPr>
              <w:t>Intervention</w:t>
            </w:r>
            <w:r w:rsidR="00E20483">
              <w:rPr>
                <w:webHidden/>
              </w:rPr>
              <w:tab/>
            </w:r>
            <w:r w:rsidR="00E20483">
              <w:rPr>
                <w:webHidden/>
              </w:rPr>
              <w:fldChar w:fldCharType="begin"/>
            </w:r>
            <w:r w:rsidR="00E20483">
              <w:rPr>
                <w:webHidden/>
              </w:rPr>
              <w:instrText xml:space="preserve"> PAGEREF _Toc100072030 \h </w:instrText>
            </w:r>
            <w:r w:rsidR="00E20483">
              <w:rPr>
                <w:webHidden/>
              </w:rPr>
            </w:r>
            <w:r w:rsidR="00E20483">
              <w:rPr>
                <w:webHidden/>
              </w:rPr>
              <w:fldChar w:fldCharType="separate"/>
            </w:r>
            <w:r w:rsidR="00E20483">
              <w:rPr>
                <w:webHidden/>
              </w:rPr>
              <w:t>9</w:t>
            </w:r>
            <w:r w:rsidR="00E20483">
              <w:rPr>
                <w:webHidden/>
              </w:rPr>
              <w:fldChar w:fldCharType="end"/>
            </w:r>
          </w:hyperlink>
        </w:p>
        <w:p w14:paraId="547D7A3A" w14:textId="77777777" w:rsidR="00E20483" w:rsidRDefault="008A4CA2">
          <w:pPr>
            <w:pStyle w:val="TOC3"/>
            <w:rPr>
              <w:rFonts w:asciiTheme="minorHAnsi" w:eastAsiaTheme="minorEastAsia" w:hAnsiTheme="minorHAnsi" w:cstheme="minorBidi"/>
              <w:sz w:val="22"/>
              <w:szCs w:val="22"/>
            </w:rPr>
          </w:pPr>
          <w:hyperlink w:anchor="_Toc100072031" w:history="1">
            <w:r w:rsidR="00E20483" w:rsidRPr="00136A60">
              <w:rPr>
                <w:rStyle w:val="Hyperlink"/>
                <w:rFonts w:ascii="GibsonLight" w:eastAsia="Arial Unicode MS" w:hAnsi="GibsonLight"/>
                <w:spacing w:val="12"/>
              </w:rPr>
              <w:t>Study Context</w:t>
            </w:r>
            <w:r w:rsidR="00E20483">
              <w:rPr>
                <w:webHidden/>
              </w:rPr>
              <w:tab/>
            </w:r>
            <w:r w:rsidR="00E20483">
              <w:rPr>
                <w:webHidden/>
              </w:rPr>
              <w:fldChar w:fldCharType="begin"/>
            </w:r>
            <w:r w:rsidR="00E20483">
              <w:rPr>
                <w:webHidden/>
              </w:rPr>
              <w:instrText xml:space="preserve"> PAGEREF _Toc100072031 \h </w:instrText>
            </w:r>
            <w:r w:rsidR="00E20483">
              <w:rPr>
                <w:webHidden/>
              </w:rPr>
            </w:r>
            <w:r w:rsidR="00E20483">
              <w:rPr>
                <w:webHidden/>
              </w:rPr>
              <w:fldChar w:fldCharType="separate"/>
            </w:r>
            <w:r w:rsidR="00E20483">
              <w:rPr>
                <w:webHidden/>
              </w:rPr>
              <w:t>11</w:t>
            </w:r>
            <w:r w:rsidR="00E20483">
              <w:rPr>
                <w:webHidden/>
              </w:rPr>
              <w:fldChar w:fldCharType="end"/>
            </w:r>
          </w:hyperlink>
        </w:p>
        <w:p w14:paraId="6CC6E167" w14:textId="77777777" w:rsidR="00E20483" w:rsidRDefault="008A4CA2">
          <w:pPr>
            <w:pStyle w:val="TOC3"/>
            <w:rPr>
              <w:rFonts w:asciiTheme="minorHAnsi" w:eastAsiaTheme="minorEastAsia" w:hAnsiTheme="minorHAnsi" w:cstheme="minorBidi"/>
              <w:sz w:val="22"/>
              <w:szCs w:val="22"/>
            </w:rPr>
          </w:pPr>
          <w:hyperlink w:anchor="_Toc100072032" w:history="1">
            <w:r w:rsidR="00E20483" w:rsidRPr="00136A60">
              <w:rPr>
                <w:rStyle w:val="Hyperlink"/>
                <w:rFonts w:ascii="GibsonLight" w:eastAsia="Arial Unicode MS" w:hAnsi="GibsonLight"/>
                <w:spacing w:val="12"/>
              </w:rPr>
              <w:t>Costs and Health Effects</w:t>
            </w:r>
            <w:r w:rsidR="00E20483">
              <w:rPr>
                <w:webHidden/>
              </w:rPr>
              <w:tab/>
            </w:r>
            <w:r w:rsidR="00E20483">
              <w:rPr>
                <w:webHidden/>
              </w:rPr>
              <w:fldChar w:fldCharType="begin"/>
            </w:r>
            <w:r w:rsidR="00E20483">
              <w:rPr>
                <w:webHidden/>
              </w:rPr>
              <w:instrText xml:space="preserve"> PAGEREF _Toc100072032 \h </w:instrText>
            </w:r>
            <w:r w:rsidR="00E20483">
              <w:rPr>
                <w:webHidden/>
              </w:rPr>
            </w:r>
            <w:r w:rsidR="00E20483">
              <w:rPr>
                <w:webHidden/>
              </w:rPr>
              <w:fldChar w:fldCharType="separate"/>
            </w:r>
            <w:r w:rsidR="00E20483">
              <w:rPr>
                <w:webHidden/>
              </w:rPr>
              <w:t>11</w:t>
            </w:r>
            <w:r w:rsidR="00E20483">
              <w:rPr>
                <w:webHidden/>
              </w:rPr>
              <w:fldChar w:fldCharType="end"/>
            </w:r>
          </w:hyperlink>
        </w:p>
        <w:p w14:paraId="24C2208F" w14:textId="77777777" w:rsidR="00E20483" w:rsidRDefault="008A4CA2">
          <w:pPr>
            <w:pStyle w:val="TOC3"/>
            <w:rPr>
              <w:rFonts w:asciiTheme="minorHAnsi" w:eastAsiaTheme="minorEastAsia" w:hAnsiTheme="minorHAnsi" w:cstheme="minorBidi"/>
              <w:sz w:val="22"/>
              <w:szCs w:val="22"/>
            </w:rPr>
          </w:pPr>
          <w:hyperlink w:anchor="_Toc100072033" w:history="1">
            <w:r w:rsidR="00E20483" w:rsidRPr="00136A60">
              <w:rPr>
                <w:rStyle w:val="Hyperlink"/>
                <w:rFonts w:ascii="GibsonLight" w:eastAsia="Arial Unicode MS" w:hAnsi="GibsonLight"/>
                <w:spacing w:val="12"/>
              </w:rPr>
              <w:t>Parameter Uncertainty</w:t>
            </w:r>
            <w:r w:rsidR="00E20483">
              <w:rPr>
                <w:webHidden/>
              </w:rPr>
              <w:tab/>
            </w:r>
            <w:r w:rsidR="00E20483">
              <w:rPr>
                <w:webHidden/>
              </w:rPr>
              <w:fldChar w:fldCharType="begin"/>
            </w:r>
            <w:r w:rsidR="00E20483">
              <w:rPr>
                <w:webHidden/>
              </w:rPr>
              <w:instrText xml:space="preserve"> PAGEREF _Toc100072033 \h </w:instrText>
            </w:r>
            <w:r w:rsidR="00E20483">
              <w:rPr>
                <w:webHidden/>
              </w:rPr>
            </w:r>
            <w:r w:rsidR="00E20483">
              <w:rPr>
                <w:webHidden/>
              </w:rPr>
              <w:fldChar w:fldCharType="separate"/>
            </w:r>
            <w:r w:rsidR="00E20483">
              <w:rPr>
                <w:webHidden/>
              </w:rPr>
              <w:t>13</w:t>
            </w:r>
            <w:r w:rsidR="00E20483">
              <w:rPr>
                <w:webHidden/>
              </w:rPr>
              <w:fldChar w:fldCharType="end"/>
            </w:r>
          </w:hyperlink>
        </w:p>
        <w:p w14:paraId="4667D668" w14:textId="77777777" w:rsidR="00E20483" w:rsidRDefault="008A4CA2">
          <w:pPr>
            <w:pStyle w:val="TOC3"/>
            <w:rPr>
              <w:rFonts w:asciiTheme="minorHAnsi" w:eastAsiaTheme="minorEastAsia" w:hAnsiTheme="minorHAnsi" w:cstheme="minorBidi"/>
              <w:sz w:val="22"/>
              <w:szCs w:val="22"/>
            </w:rPr>
          </w:pPr>
          <w:hyperlink w:anchor="_Toc100072034" w:history="1">
            <w:r w:rsidR="00E20483" w:rsidRPr="00136A60">
              <w:rPr>
                <w:rStyle w:val="Hyperlink"/>
                <w:rFonts w:ascii="GibsonLight" w:eastAsia="Arial Unicode MS" w:hAnsi="GibsonLight"/>
                <w:spacing w:val="12"/>
              </w:rPr>
              <w:t>Disease Classification</w:t>
            </w:r>
            <w:r w:rsidR="00E20483">
              <w:rPr>
                <w:webHidden/>
              </w:rPr>
              <w:tab/>
            </w:r>
            <w:r w:rsidR="00E20483">
              <w:rPr>
                <w:webHidden/>
              </w:rPr>
              <w:fldChar w:fldCharType="begin"/>
            </w:r>
            <w:r w:rsidR="00E20483">
              <w:rPr>
                <w:webHidden/>
              </w:rPr>
              <w:instrText xml:space="preserve"> PAGEREF _Toc100072034 \h </w:instrText>
            </w:r>
            <w:r w:rsidR="00E20483">
              <w:rPr>
                <w:webHidden/>
              </w:rPr>
            </w:r>
            <w:r w:rsidR="00E20483">
              <w:rPr>
                <w:webHidden/>
              </w:rPr>
              <w:fldChar w:fldCharType="separate"/>
            </w:r>
            <w:r w:rsidR="00E20483">
              <w:rPr>
                <w:webHidden/>
              </w:rPr>
              <w:t>15</w:t>
            </w:r>
            <w:r w:rsidR="00E20483">
              <w:rPr>
                <w:webHidden/>
              </w:rPr>
              <w:fldChar w:fldCharType="end"/>
            </w:r>
          </w:hyperlink>
        </w:p>
        <w:p w14:paraId="18992010" w14:textId="77777777" w:rsidR="00E20483" w:rsidRDefault="008A4CA2">
          <w:pPr>
            <w:pStyle w:val="TOC3"/>
            <w:rPr>
              <w:rFonts w:asciiTheme="minorHAnsi" w:eastAsiaTheme="minorEastAsia" w:hAnsiTheme="minorHAnsi" w:cstheme="minorBidi"/>
              <w:sz w:val="22"/>
              <w:szCs w:val="22"/>
            </w:rPr>
          </w:pPr>
          <w:hyperlink w:anchor="_Toc100072035" w:history="1">
            <w:r w:rsidR="00E20483" w:rsidRPr="00136A60">
              <w:rPr>
                <w:rStyle w:val="Hyperlink"/>
                <w:rFonts w:ascii="GibsonLight" w:eastAsia="Arial Unicode MS" w:hAnsi="GibsonLight"/>
                <w:spacing w:val="12"/>
              </w:rPr>
              <w:t>Equity &amp; Ethical Considerations</w:t>
            </w:r>
            <w:r w:rsidR="00E20483">
              <w:rPr>
                <w:webHidden/>
              </w:rPr>
              <w:tab/>
            </w:r>
            <w:r w:rsidR="00E20483">
              <w:rPr>
                <w:webHidden/>
              </w:rPr>
              <w:fldChar w:fldCharType="begin"/>
            </w:r>
            <w:r w:rsidR="00E20483">
              <w:rPr>
                <w:webHidden/>
              </w:rPr>
              <w:instrText xml:space="preserve"> PAGEREF _Toc100072035 \h </w:instrText>
            </w:r>
            <w:r w:rsidR="00E20483">
              <w:rPr>
                <w:webHidden/>
              </w:rPr>
            </w:r>
            <w:r w:rsidR="00E20483">
              <w:rPr>
                <w:webHidden/>
              </w:rPr>
              <w:fldChar w:fldCharType="separate"/>
            </w:r>
            <w:r w:rsidR="00E20483">
              <w:rPr>
                <w:webHidden/>
              </w:rPr>
              <w:t>15</w:t>
            </w:r>
            <w:r w:rsidR="00E20483">
              <w:rPr>
                <w:webHidden/>
              </w:rPr>
              <w:fldChar w:fldCharType="end"/>
            </w:r>
          </w:hyperlink>
        </w:p>
        <w:p w14:paraId="456FB5D7" w14:textId="77777777" w:rsidR="00E20483" w:rsidRDefault="008A4CA2">
          <w:pPr>
            <w:pStyle w:val="TOC3"/>
            <w:rPr>
              <w:rFonts w:asciiTheme="minorHAnsi" w:eastAsiaTheme="minorEastAsia" w:hAnsiTheme="minorHAnsi" w:cstheme="minorBidi"/>
              <w:sz w:val="22"/>
              <w:szCs w:val="22"/>
            </w:rPr>
          </w:pPr>
          <w:hyperlink w:anchor="_Toc100072036" w:history="1">
            <w:r w:rsidR="00E20483" w:rsidRPr="00136A60">
              <w:rPr>
                <w:rStyle w:val="Hyperlink"/>
                <w:rFonts w:ascii="GibsonLight" w:eastAsia="Arial Unicode MS" w:hAnsi="GibsonLight"/>
                <w:spacing w:val="12"/>
              </w:rPr>
              <w:t>Reporting Transparency and Quality</w:t>
            </w:r>
            <w:r w:rsidR="00E20483">
              <w:rPr>
                <w:webHidden/>
              </w:rPr>
              <w:tab/>
            </w:r>
            <w:r w:rsidR="00E20483">
              <w:rPr>
                <w:webHidden/>
              </w:rPr>
              <w:fldChar w:fldCharType="begin"/>
            </w:r>
            <w:r w:rsidR="00E20483">
              <w:rPr>
                <w:webHidden/>
              </w:rPr>
              <w:instrText xml:space="preserve"> PAGEREF _Toc100072036 \h </w:instrText>
            </w:r>
            <w:r w:rsidR="00E20483">
              <w:rPr>
                <w:webHidden/>
              </w:rPr>
            </w:r>
            <w:r w:rsidR="00E20483">
              <w:rPr>
                <w:webHidden/>
              </w:rPr>
              <w:fldChar w:fldCharType="separate"/>
            </w:r>
            <w:r w:rsidR="00E20483">
              <w:rPr>
                <w:webHidden/>
              </w:rPr>
              <w:t>16</w:t>
            </w:r>
            <w:r w:rsidR="00E20483">
              <w:rPr>
                <w:webHidden/>
              </w:rPr>
              <w:fldChar w:fldCharType="end"/>
            </w:r>
          </w:hyperlink>
        </w:p>
        <w:p w14:paraId="699FE380" w14:textId="77777777" w:rsidR="00E20483" w:rsidRDefault="008A4CA2">
          <w:pPr>
            <w:pStyle w:val="TOC2"/>
            <w:rPr>
              <w:rFonts w:asciiTheme="minorHAnsi" w:eastAsiaTheme="minorEastAsia" w:hAnsiTheme="minorHAnsi" w:cstheme="minorBidi"/>
              <w:bCs w:val="0"/>
              <w:smallCaps w:val="0"/>
              <w:sz w:val="22"/>
              <w:szCs w:val="22"/>
            </w:rPr>
          </w:pPr>
          <w:hyperlink w:anchor="_Toc100072037" w:history="1">
            <w:r w:rsidR="00E20483" w:rsidRPr="00136A60">
              <w:rPr>
                <w:rStyle w:val="Hyperlink"/>
                <w:rFonts w:ascii="Gibson" w:eastAsia="Arial Unicode MS" w:hAnsi="Gibson"/>
                <w:spacing w:val="12"/>
              </w:rPr>
              <w:t>Ratios Form</w:t>
            </w:r>
            <w:r w:rsidR="00E20483">
              <w:rPr>
                <w:webHidden/>
              </w:rPr>
              <w:tab/>
            </w:r>
            <w:r w:rsidR="00E20483">
              <w:rPr>
                <w:webHidden/>
              </w:rPr>
              <w:fldChar w:fldCharType="begin"/>
            </w:r>
            <w:r w:rsidR="00E20483">
              <w:rPr>
                <w:webHidden/>
              </w:rPr>
              <w:instrText xml:space="preserve"> PAGEREF _Toc100072037 \h </w:instrText>
            </w:r>
            <w:r w:rsidR="00E20483">
              <w:rPr>
                <w:webHidden/>
              </w:rPr>
            </w:r>
            <w:r w:rsidR="00E20483">
              <w:rPr>
                <w:webHidden/>
              </w:rPr>
              <w:fldChar w:fldCharType="separate"/>
            </w:r>
            <w:r w:rsidR="00E20483">
              <w:rPr>
                <w:webHidden/>
              </w:rPr>
              <w:t>17</w:t>
            </w:r>
            <w:r w:rsidR="00E20483">
              <w:rPr>
                <w:webHidden/>
              </w:rPr>
              <w:fldChar w:fldCharType="end"/>
            </w:r>
          </w:hyperlink>
        </w:p>
        <w:p w14:paraId="35E7A301" w14:textId="77777777" w:rsidR="00E20483" w:rsidRDefault="008A4CA2">
          <w:pPr>
            <w:pStyle w:val="TOC3"/>
            <w:rPr>
              <w:rFonts w:asciiTheme="minorHAnsi" w:eastAsiaTheme="minorEastAsia" w:hAnsiTheme="minorHAnsi" w:cstheme="minorBidi"/>
              <w:sz w:val="22"/>
              <w:szCs w:val="22"/>
            </w:rPr>
          </w:pPr>
          <w:hyperlink w:anchor="_Toc100072038" w:history="1">
            <w:r w:rsidR="00E20483" w:rsidRPr="00136A60">
              <w:rPr>
                <w:rStyle w:val="Hyperlink"/>
                <w:rFonts w:ascii="GibsonLight" w:eastAsia="Arial Unicode MS" w:hAnsi="GibsonLight"/>
                <w:spacing w:val="12"/>
              </w:rPr>
              <w:t>Target Population</w:t>
            </w:r>
            <w:r w:rsidR="00E20483">
              <w:rPr>
                <w:webHidden/>
              </w:rPr>
              <w:tab/>
            </w:r>
            <w:r w:rsidR="00E20483">
              <w:rPr>
                <w:webHidden/>
              </w:rPr>
              <w:fldChar w:fldCharType="begin"/>
            </w:r>
            <w:r w:rsidR="00E20483">
              <w:rPr>
                <w:webHidden/>
              </w:rPr>
              <w:instrText xml:space="preserve"> PAGEREF _Toc100072038 \h </w:instrText>
            </w:r>
            <w:r w:rsidR="00E20483">
              <w:rPr>
                <w:webHidden/>
              </w:rPr>
            </w:r>
            <w:r w:rsidR="00E20483">
              <w:rPr>
                <w:webHidden/>
              </w:rPr>
              <w:fldChar w:fldCharType="separate"/>
            </w:r>
            <w:r w:rsidR="00E20483">
              <w:rPr>
                <w:webHidden/>
              </w:rPr>
              <w:t>17</w:t>
            </w:r>
            <w:r w:rsidR="00E20483">
              <w:rPr>
                <w:webHidden/>
              </w:rPr>
              <w:fldChar w:fldCharType="end"/>
            </w:r>
          </w:hyperlink>
        </w:p>
        <w:p w14:paraId="126540B9" w14:textId="77777777" w:rsidR="00E20483" w:rsidRDefault="008A4CA2">
          <w:pPr>
            <w:pStyle w:val="TOC3"/>
            <w:rPr>
              <w:rFonts w:asciiTheme="minorHAnsi" w:eastAsiaTheme="minorEastAsia" w:hAnsiTheme="minorHAnsi" w:cstheme="minorBidi"/>
              <w:sz w:val="22"/>
              <w:szCs w:val="22"/>
            </w:rPr>
          </w:pPr>
          <w:hyperlink w:anchor="_Toc100072039" w:history="1">
            <w:r w:rsidR="00E20483" w:rsidRPr="00136A60">
              <w:rPr>
                <w:rStyle w:val="Hyperlink"/>
                <w:rFonts w:ascii="GibsonLight" w:eastAsia="Arial Unicode MS" w:hAnsi="GibsonLight"/>
                <w:spacing w:val="12"/>
              </w:rPr>
              <w:t>Intervention</w:t>
            </w:r>
            <w:r w:rsidR="00E20483">
              <w:rPr>
                <w:webHidden/>
              </w:rPr>
              <w:tab/>
            </w:r>
            <w:r w:rsidR="00E20483">
              <w:rPr>
                <w:webHidden/>
              </w:rPr>
              <w:fldChar w:fldCharType="begin"/>
            </w:r>
            <w:r w:rsidR="00E20483">
              <w:rPr>
                <w:webHidden/>
              </w:rPr>
              <w:instrText xml:space="preserve"> PAGEREF _Toc100072039 \h </w:instrText>
            </w:r>
            <w:r w:rsidR="00E20483">
              <w:rPr>
                <w:webHidden/>
              </w:rPr>
            </w:r>
            <w:r w:rsidR="00E20483">
              <w:rPr>
                <w:webHidden/>
              </w:rPr>
              <w:fldChar w:fldCharType="separate"/>
            </w:r>
            <w:r w:rsidR="00E20483">
              <w:rPr>
                <w:webHidden/>
              </w:rPr>
              <w:t>17</w:t>
            </w:r>
            <w:r w:rsidR="00E20483">
              <w:rPr>
                <w:webHidden/>
              </w:rPr>
              <w:fldChar w:fldCharType="end"/>
            </w:r>
          </w:hyperlink>
        </w:p>
        <w:p w14:paraId="5170A723" w14:textId="77777777" w:rsidR="00E20483" w:rsidRDefault="008A4CA2">
          <w:pPr>
            <w:pStyle w:val="TOC3"/>
            <w:rPr>
              <w:rFonts w:asciiTheme="minorHAnsi" w:eastAsiaTheme="minorEastAsia" w:hAnsiTheme="minorHAnsi" w:cstheme="minorBidi"/>
              <w:sz w:val="22"/>
              <w:szCs w:val="22"/>
            </w:rPr>
          </w:pPr>
          <w:hyperlink w:anchor="_Toc100072040" w:history="1">
            <w:r w:rsidR="00E20483" w:rsidRPr="00136A60">
              <w:rPr>
                <w:rStyle w:val="Hyperlink"/>
                <w:rFonts w:ascii="GibsonLight" w:eastAsia="Arial Unicode MS" w:hAnsi="GibsonLight"/>
                <w:spacing w:val="12"/>
              </w:rPr>
              <w:t>Comparator</w:t>
            </w:r>
            <w:r w:rsidR="00E20483">
              <w:rPr>
                <w:webHidden/>
              </w:rPr>
              <w:tab/>
            </w:r>
            <w:r w:rsidR="00E20483">
              <w:rPr>
                <w:webHidden/>
              </w:rPr>
              <w:fldChar w:fldCharType="begin"/>
            </w:r>
            <w:r w:rsidR="00E20483">
              <w:rPr>
                <w:webHidden/>
              </w:rPr>
              <w:instrText xml:space="preserve"> PAGEREF _Toc100072040 \h </w:instrText>
            </w:r>
            <w:r w:rsidR="00E20483">
              <w:rPr>
                <w:webHidden/>
              </w:rPr>
            </w:r>
            <w:r w:rsidR="00E20483">
              <w:rPr>
                <w:webHidden/>
              </w:rPr>
              <w:fldChar w:fldCharType="separate"/>
            </w:r>
            <w:r w:rsidR="00E20483">
              <w:rPr>
                <w:webHidden/>
              </w:rPr>
              <w:t>18</w:t>
            </w:r>
            <w:r w:rsidR="00E20483">
              <w:rPr>
                <w:webHidden/>
              </w:rPr>
              <w:fldChar w:fldCharType="end"/>
            </w:r>
          </w:hyperlink>
        </w:p>
        <w:p w14:paraId="69C8D0D0" w14:textId="77777777" w:rsidR="00E20483" w:rsidRDefault="008A4CA2">
          <w:pPr>
            <w:pStyle w:val="TOC3"/>
            <w:rPr>
              <w:rFonts w:asciiTheme="minorHAnsi" w:eastAsiaTheme="minorEastAsia" w:hAnsiTheme="minorHAnsi" w:cstheme="minorBidi"/>
              <w:sz w:val="22"/>
              <w:szCs w:val="22"/>
            </w:rPr>
          </w:pPr>
          <w:hyperlink w:anchor="_Toc100072041" w:history="1">
            <w:r w:rsidR="00E20483" w:rsidRPr="00136A60">
              <w:rPr>
                <w:rStyle w:val="Hyperlink"/>
                <w:rFonts w:ascii="GibsonLight" w:eastAsia="Arial Unicode MS" w:hAnsi="GibsonLight"/>
                <w:spacing w:val="12"/>
              </w:rPr>
              <w:t>Ratio</w:t>
            </w:r>
            <w:r w:rsidR="00E20483">
              <w:rPr>
                <w:webHidden/>
              </w:rPr>
              <w:tab/>
            </w:r>
            <w:r w:rsidR="00E20483">
              <w:rPr>
                <w:webHidden/>
              </w:rPr>
              <w:fldChar w:fldCharType="begin"/>
            </w:r>
            <w:r w:rsidR="00E20483">
              <w:rPr>
                <w:webHidden/>
              </w:rPr>
              <w:instrText xml:space="preserve"> PAGEREF _Toc100072041 \h </w:instrText>
            </w:r>
            <w:r w:rsidR="00E20483">
              <w:rPr>
                <w:webHidden/>
              </w:rPr>
            </w:r>
            <w:r w:rsidR="00E20483">
              <w:rPr>
                <w:webHidden/>
              </w:rPr>
              <w:fldChar w:fldCharType="separate"/>
            </w:r>
            <w:r w:rsidR="00E20483">
              <w:rPr>
                <w:webHidden/>
              </w:rPr>
              <w:t>18</w:t>
            </w:r>
            <w:r w:rsidR="00E20483">
              <w:rPr>
                <w:webHidden/>
              </w:rPr>
              <w:fldChar w:fldCharType="end"/>
            </w:r>
          </w:hyperlink>
        </w:p>
        <w:p w14:paraId="57FFB95E" w14:textId="77777777" w:rsidR="00E20483" w:rsidRDefault="008A4CA2">
          <w:pPr>
            <w:pStyle w:val="TOC2"/>
            <w:rPr>
              <w:rFonts w:asciiTheme="minorHAnsi" w:eastAsiaTheme="minorEastAsia" w:hAnsiTheme="minorHAnsi" w:cstheme="minorBidi"/>
              <w:bCs w:val="0"/>
              <w:smallCaps w:val="0"/>
              <w:sz w:val="22"/>
              <w:szCs w:val="22"/>
            </w:rPr>
          </w:pPr>
          <w:hyperlink w:anchor="_Toc100072042" w:history="1">
            <w:r w:rsidR="00E20483" w:rsidRPr="00136A60">
              <w:rPr>
                <w:rStyle w:val="Hyperlink"/>
                <w:rFonts w:ascii="Gibson" w:eastAsia="Arial Unicode MS" w:hAnsi="Gibson"/>
                <w:spacing w:val="12"/>
              </w:rPr>
              <w:t>Utility or Disability Weights Form</w:t>
            </w:r>
            <w:r w:rsidR="00E20483">
              <w:rPr>
                <w:webHidden/>
              </w:rPr>
              <w:tab/>
            </w:r>
            <w:r w:rsidR="00E20483">
              <w:rPr>
                <w:webHidden/>
              </w:rPr>
              <w:fldChar w:fldCharType="begin"/>
            </w:r>
            <w:r w:rsidR="00E20483">
              <w:rPr>
                <w:webHidden/>
              </w:rPr>
              <w:instrText xml:space="preserve"> PAGEREF _Toc100072042 \h </w:instrText>
            </w:r>
            <w:r w:rsidR="00E20483">
              <w:rPr>
                <w:webHidden/>
              </w:rPr>
            </w:r>
            <w:r w:rsidR="00E20483">
              <w:rPr>
                <w:webHidden/>
              </w:rPr>
              <w:fldChar w:fldCharType="separate"/>
            </w:r>
            <w:r w:rsidR="00E20483">
              <w:rPr>
                <w:webHidden/>
              </w:rPr>
              <w:t>21</w:t>
            </w:r>
            <w:r w:rsidR="00E20483">
              <w:rPr>
                <w:webHidden/>
              </w:rPr>
              <w:fldChar w:fldCharType="end"/>
            </w:r>
          </w:hyperlink>
        </w:p>
        <w:p w14:paraId="08772404" w14:textId="77777777" w:rsidR="00E20483" w:rsidRDefault="008A4CA2">
          <w:pPr>
            <w:pStyle w:val="TOC3"/>
            <w:rPr>
              <w:rFonts w:asciiTheme="minorHAnsi" w:eastAsiaTheme="minorEastAsia" w:hAnsiTheme="minorHAnsi" w:cstheme="minorBidi"/>
              <w:sz w:val="22"/>
              <w:szCs w:val="22"/>
            </w:rPr>
          </w:pPr>
          <w:hyperlink w:anchor="_Toc100072043" w:history="1">
            <w:r w:rsidR="00E20483" w:rsidRPr="00136A60">
              <w:rPr>
                <w:rStyle w:val="Hyperlink"/>
                <w:rFonts w:ascii="GibsonLight" w:eastAsia="Arial Unicode MS" w:hAnsi="GibsonLight"/>
                <w:spacing w:val="12"/>
              </w:rPr>
              <w:t>Utility or Disability Weight</w:t>
            </w:r>
            <w:r w:rsidR="00E20483">
              <w:rPr>
                <w:webHidden/>
              </w:rPr>
              <w:tab/>
            </w:r>
            <w:r w:rsidR="00E20483">
              <w:rPr>
                <w:webHidden/>
              </w:rPr>
              <w:fldChar w:fldCharType="begin"/>
            </w:r>
            <w:r w:rsidR="00E20483">
              <w:rPr>
                <w:webHidden/>
              </w:rPr>
              <w:instrText xml:space="preserve"> PAGEREF _Toc100072043 \h </w:instrText>
            </w:r>
            <w:r w:rsidR="00E20483">
              <w:rPr>
                <w:webHidden/>
              </w:rPr>
            </w:r>
            <w:r w:rsidR="00E20483">
              <w:rPr>
                <w:webHidden/>
              </w:rPr>
              <w:fldChar w:fldCharType="separate"/>
            </w:r>
            <w:r w:rsidR="00E20483">
              <w:rPr>
                <w:webHidden/>
              </w:rPr>
              <w:t>21</w:t>
            </w:r>
            <w:r w:rsidR="00E20483">
              <w:rPr>
                <w:webHidden/>
              </w:rPr>
              <w:fldChar w:fldCharType="end"/>
            </w:r>
          </w:hyperlink>
        </w:p>
        <w:p w14:paraId="5DAD7143" w14:textId="77777777" w:rsidR="00E20483" w:rsidRDefault="008A4CA2">
          <w:pPr>
            <w:pStyle w:val="TOC3"/>
            <w:rPr>
              <w:rFonts w:asciiTheme="minorHAnsi" w:eastAsiaTheme="minorEastAsia" w:hAnsiTheme="minorHAnsi" w:cstheme="minorBidi"/>
              <w:sz w:val="22"/>
              <w:szCs w:val="22"/>
            </w:rPr>
          </w:pPr>
          <w:hyperlink w:anchor="_Toc100072044" w:history="1">
            <w:r w:rsidR="00E20483" w:rsidRPr="00136A60">
              <w:rPr>
                <w:rStyle w:val="Hyperlink"/>
                <w:rFonts w:ascii="GibsonLight" w:eastAsia="Arial Unicode MS" w:hAnsi="GibsonLight"/>
                <w:spacing w:val="12"/>
              </w:rPr>
              <w:t>Sensitivity Analyses</w:t>
            </w:r>
            <w:r w:rsidR="00E20483">
              <w:rPr>
                <w:webHidden/>
              </w:rPr>
              <w:tab/>
            </w:r>
            <w:r w:rsidR="00E20483">
              <w:rPr>
                <w:webHidden/>
              </w:rPr>
              <w:fldChar w:fldCharType="begin"/>
            </w:r>
            <w:r w:rsidR="00E20483">
              <w:rPr>
                <w:webHidden/>
              </w:rPr>
              <w:instrText xml:space="preserve"> PAGEREF _Toc100072044 \h </w:instrText>
            </w:r>
            <w:r w:rsidR="00E20483">
              <w:rPr>
                <w:webHidden/>
              </w:rPr>
            </w:r>
            <w:r w:rsidR="00E20483">
              <w:rPr>
                <w:webHidden/>
              </w:rPr>
              <w:fldChar w:fldCharType="separate"/>
            </w:r>
            <w:r w:rsidR="00E20483">
              <w:rPr>
                <w:webHidden/>
              </w:rPr>
              <w:t>21</w:t>
            </w:r>
            <w:r w:rsidR="00E20483">
              <w:rPr>
                <w:webHidden/>
              </w:rPr>
              <w:fldChar w:fldCharType="end"/>
            </w:r>
          </w:hyperlink>
        </w:p>
        <w:p w14:paraId="61DEFFF0" w14:textId="77777777" w:rsidR="00E20483" w:rsidRDefault="008A4CA2">
          <w:pPr>
            <w:pStyle w:val="TOC3"/>
            <w:rPr>
              <w:rFonts w:asciiTheme="minorHAnsi" w:eastAsiaTheme="minorEastAsia" w:hAnsiTheme="minorHAnsi" w:cstheme="minorBidi"/>
              <w:sz w:val="22"/>
              <w:szCs w:val="22"/>
            </w:rPr>
          </w:pPr>
          <w:hyperlink w:anchor="_Toc100072045" w:history="1">
            <w:r w:rsidR="00E20483" w:rsidRPr="00136A60">
              <w:rPr>
                <w:rStyle w:val="Hyperlink"/>
                <w:rFonts w:ascii="GibsonLight" w:eastAsia="Arial Unicode MS" w:hAnsi="GibsonLight"/>
                <w:spacing w:val="12"/>
              </w:rPr>
              <w:t>Measurement Instrument/Estimation Methodology</w:t>
            </w:r>
            <w:r w:rsidR="00E20483">
              <w:rPr>
                <w:webHidden/>
              </w:rPr>
              <w:tab/>
            </w:r>
            <w:r w:rsidR="00E20483">
              <w:rPr>
                <w:webHidden/>
              </w:rPr>
              <w:fldChar w:fldCharType="begin"/>
            </w:r>
            <w:r w:rsidR="00E20483">
              <w:rPr>
                <w:webHidden/>
              </w:rPr>
              <w:instrText xml:space="preserve"> PAGEREF _Toc100072045 \h </w:instrText>
            </w:r>
            <w:r w:rsidR="00E20483">
              <w:rPr>
                <w:webHidden/>
              </w:rPr>
            </w:r>
            <w:r w:rsidR="00E20483">
              <w:rPr>
                <w:webHidden/>
              </w:rPr>
              <w:fldChar w:fldCharType="separate"/>
            </w:r>
            <w:r w:rsidR="00E20483">
              <w:rPr>
                <w:webHidden/>
              </w:rPr>
              <w:t>21</w:t>
            </w:r>
            <w:r w:rsidR="00E20483">
              <w:rPr>
                <w:webHidden/>
              </w:rPr>
              <w:fldChar w:fldCharType="end"/>
            </w:r>
          </w:hyperlink>
        </w:p>
        <w:p w14:paraId="430D89E8" w14:textId="77777777" w:rsidR="00E20483" w:rsidRDefault="008A4CA2">
          <w:pPr>
            <w:pStyle w:val="TOC3"/>
            <w:rPr>
              <w:rFonts w:asciiTheme="minorHAnsi" w:eastAsiaTheme="minorEastAsia" w:hAnsiTheme="minorHAnsi" w:cstheme="minorBidi"/>
              <w:sz w:val="22"/>
              <w:szCs w:val="22"/>
            </w:rPr>
          </w:pPr>
          <w:hyperlink w:anchor="_Toc100072046" w:history="1">
            <w:r w:rsidR="00E20483" w:rsidRPr="00136A60">
              <w:rPr>
                <w:rStyle w:val="Hyperlink"/>
                <w:rFonts w:ascii="GibsonLight" w:eastAsia="Arial Unicode MS" w:hAnsi="GibsonLight"/>
                <w:spacing w:val="12"/>
              </w:rPr>
              <w:t>Data Source(s)</w:t>
            </w:r>
            <w:r w:rsidR="00E20483">
              <w:rPr>
                <w:webHidden/>
              </w:rPr>
              <w:tab/>
            </w:r>
            <w:r w:rsidR="00E20483">
              <w:rPr>
                <w:webHidden/>
              </w:rPr>
              <w:fldChar w:fldCharType="begin"/>
            </w:r>
            <w:r w:rsidR="00E20483">
              <w:rPr>
                <w:webHidden/>
              </w:rPr>
              <w:instrText xml:space="preserve"> PAGEREF _Toc100072046 \h </w:instrText>
            </w:r>
            <w:r w:rsidR="00E20483">
              <w:rPr>
                <w:webHidden/>
              </w:rPr>
            </w:r>
            <w:r w:rsidR="00E20483">
              <w:rPr>
                <w:webHidden/>
              </w:rPr>
              <w:fldChar w:fldCharType="separate"/>
            </w:r>
            <w:r w:rsidR="00E20483">
              <w:rPr>
                <w:webHidden/>
              </w:rPr>
              <w:t>22</w:t>
            </w:r>
            <w:r w:rsidR="00E20483">
              <w:rPr>
                <w:webHidden/>
              </w:rPr>
              <w:fldChar w:fldCharType="end"/>
            </w:r>
          </w:hyperlink>
        </w:p>
        <w:p w14:paraId="247971DC" w14:textId="71EFA824" w:rsidR="00E3371F" w:rsidRPr="004F0578" w:rsidRDefault="00E3371F" w:rsidP="004B15D0">
          <w:pPr>
            <w:spacing w:after="120"/>
            <w:rPr>
              <w:rFonts w:ascii="GibsonLight" w:eastAsia="Arial Unicode MS" w:hAnsi="GibsonLight"/>
              <w:spacing w:val="12"/>
            </w:rPr>
          </w:pPr>
          <w:r w:rsidRPr="004F0578">
            <w:rPr>
              <w:rFonts w:ascii="GibsonLight" w:eastAsia="Arial Unicode MS" w:hAnsi="GibsonLight"/>
              <w:b/>
              <w:bCs/>
              <w:noProof/>
              <w:spacing w:val="12"/>
              <w:sz w:val="22"/>
              <w:szCs w:val="22"/>
            </w:rPr>
            <w:fldChar w:fldCharType="end"/>
          </w:r>
        </w:p>
      </w:sdtContent>
    </w:sdt>
    <w:p w14:paraId="7DA2CE32" w14:textId="34703DAF" w:rsidR="00E65C87" w:rsidRPr="004F0578" w:rsidRDefault="008E6B1B" w:rsidP="008E6B1B">
      <w:pPr>
        <w:pStyle w:val="BodyText2"/>
        <w:tabs>
          <w:tab w:val="left" w:pos="9180"/>
        </w:tabs>
        <w:spacing w:after="120"/>
        <w:rPr>
          <w:rFonts w:ascii="GibsonLight" w:eastAsia="Arial Unicode MS" w:hAnsi="GibsonLight" w:cs="Times New Roman"/>
          <w:b/>
          <w:bCs/>
          <w:spacing w:val="12"/>
          <w:sz w:val="32"/>
          <w:szCs w:val="32"/>
        </w:rPr>
      </w:pPr>
      <w:r>
        <w:rPr>
          <w:rFonts w:ascii="GibsonLight" w:eastAsia="Arial Unicode MS" w:hAnsi="GibsonLight" w:cs="Times New Roman"/>
          <w:b/>
          <w:bCs/>
          <w:spacing w:val="12"/>
          <w:sz w:val="32"/>
          <w:szCs w:val="32"/>
        </w:rPr>
        <w:tab/>
      </w:r>
    </w:p>
    <w:p w14:paraId="69CD563D" w14:textId="77777777" w:rsidR="00E65C87" w:rsidRPr="004F0578" w:rsidRDefault="00E65C87" w:rsidP="004B15D0">
      <w:pPr>
        <w:pStyle w:val="BodyText2"/>
        <w:spacing w:after="120"/>
        <w:jc w:val="center"/>
        <w:rPr>
          <w:rFonts w:ascii="GibsonLight" w:eastAsia="Arial Unicode MS" w:hAnsi="GibsonLight" w:cs="Times New Roman"/>
          <w:b/>
          <w:bCs/>
          <w:spacing w:val="12"/>
          <w:sz w:val="32"/>
          <w:szCs w:val="32"/>
        </w:rPr>
      </w:pPr>
    </w:p>
    <w:p w14:paraId="05724897" w14:textId="77777777" w:rsidR="00E65C87" w:rsidRPr="004F0578" w:rsidRDefault="00E65C87" w:rsidP="004B15D0">
      <w:pPr>
        <w:pStyle w:val="BodyText2"/>
        <w:spacing w:after="120"/>
        <w:jc w:val="center"/>
        <w:rPr>
          <w:rFonts w:ascii="GibsonLight" w:eastAsia="Arial Unicode MS" w:hAnsi="GibsonLight" w:cs="Times New Roman"/>
          <w:b/>
          <w:bCs/>
          <w:spacing w:val="12"/>
          <w:sz w:val="32"/>
          <w:szCs w:val="32"/>
        </w:rPr>
      </w:pPr>
    </w:p>
    <w:p w14:paraId="4E5D09AA" w14:textId="77777777" w:rsidR="00E65C87" w:rsidRPr="004F0578" w:rsidRDefault="00E65C87" w:rsidP="004B15D0">
      <w:pPr>
        <w:pStyle w:val="BodyText2"/>
        <w:spacing w:after="120"/>
        <w:rPr>
          <w:rFonts w:ascii="GibsonLight" w:eastAsia="Arial Unicode MS" w:hAnsi="GibsonLight" w:cs="Times New Roman"/>
          <w:b/>
          <w:bCs/>
          <w:spacing w:val="12"/>
          <w:sz w:val="32"/>
          <w:szCs w:val="32"/>
        </w:rPr>
      </w:pPr>
    </w:p>
    <w:p w14:paraId="6248A0B0" w14:textId="77777777" w:rsidR="00E65C87" w:rsidRPr="004F0578" w:rsidRDefault="00E65C87" w:rsidP="004B15D0">
      <w:pPr>
        <w:pStyle w:val="BodyText2"/>
        <w:spacing w:after="120"/>
        <w:jc w:val="center"/>
        <w:rPr>
          <w:rFonts w:ascii="GibsonLight" w:eastAsia="Arial Unicode MS" w:hAnsi="GibsonLight" w:cs="Times New Roman"/>
          <w:b/>
          <w:bCs/>
          <w:spacing w:val="12"/>
          <w:sz w:val="32"/>
          <w:szCs w:val="32"/>
        </w:rPr>
      </w:pPr>
    </w:p>
    <w:p w14:paraId="3836BABD" w14:textId="0E1B414F" w:rsidR="00BF7CC8" w:rsidRPr="004F0578" w:rsidRDefault="00BF7CC8" w:rsidP="004B15D0">
      <w:pPr>
        <w:autoSpaceDE/>
        <w:autoSpaceDN/>
        <w:rPr>
          <w:rFonts w:ascii="GibsonLight" w:eastAsia="Arial Unicode MS" w:hAnsi="GibsonLight"/>
          <w:b/>
          <w:bCs/>
          <w:caps/>
          <w:spacing w:val="12"/>
          <w:sz w:val="40"/>
          <w:szCs w:val="40"/>
        </w:rPr>
      </w:pPr>
      <w:bookmarkStart w:id="2" w:name="_Toc515457610"/>
      <w:bookmarkStart w:id="3" w:name="_Toc515457698"/>
    </w:p>
    <w:p w14:paraId="79C8FA15" w14:textId="549A22D2" w:rsidR="009F13E7" w:rsidRPr="004F0578" w:rsidRDefault="009F13E7" w:rsidP="004B15D0">
      <w:pPr>
        <w:pStyle w:val="Heading1"/>
        <w:numPr>
          <w:ilvl w:val="0"/>
          <w:numId w:val="0"/>
        </w:numPr>
        <w:spacing w:after="120"/>
        <w:rPr>
          <w:rFonts w:ascii="Gibson" w:eastAsia="Arial Unicode MS" w:hAnsi="Gibson"/>
          <w:b w:val="0"/>
          <w:spacing w:val="12"/>
          <w:sz w:val="44"/>
        </w:rPr>
      </w:pPr>
      <w:bookmarkStart w:id="4" w:name="_Toc100072024"/>
      <w:r w:rsidRPr="004F0578">
        <w:rPr>
          <w:rFonts w:ascii="Gibson" w:eastAsia="Arial Unicode MS" w:hAnsi="Gibson"/>
          <w:b w:val="0"/>
          <w:spacing w:val="12"/>
          <w:sz w:val="44"/>
        </w:rPr>
        <w:lastRenderedPageBreak/>
        <w:t>About the CEA Registry</w:t>
      </w:r>
      <w:bookmarkEnd w:id="4"/>
    </w:p>
    <w:p w14:paraId="45A90CB2" w14:textId="50FB2E67" w:rsidR="009F13E7" w:rsidRPr="00E20483" w:rsidRDefault="00B87893" w:rsidP="004B15D0">
      <w:pPr>
        <w:autoSpaceDE/>
        <w:autoSpaceDN/>
        <w:spacing w:after="120"/>
        <w:jc w:val="both"/>
        <w:rPr>
          <w:rFonts w:ascii="GibsonLight" w:eastAsia="Arial Unicode MS" w:hAnsi="GibsonLight"/>
          <w:bCs/>
          <w:spacing w:val="12"/>
          <w:sz w:val="22"/>
          <w:szCs w:val="22"/>
        </w:rPr>
      </w:pPr>
      <w:r w:rsidRPr="00E20483">
        <w:rPr>
          <w:rFonts w:ascii="GibsonLight" w:eastAsia="Arial Unicode MS" w:hAnsi="GibsonLight"/>
          <w:bCs/>
          <w:spacing w:val="12"/>
          <w:sz w:val="22"/>
          <w:szCs w:val="22"/>
        </w:rPr>
        <w:t>T</w:t>
      </w:r>
      <w:r w:rsidR="009F13E7" w:rsidRPr="00E20483">
        <w:rPr>
          <w:rFonts w:ascii="GibsonLight" w:eastAsia="Arial Unicode MS" w:hAnsi="GibsonLight"/>
          <w:bCs/>
          <w:spacing w:val="12"/>
          <w:sz w:val="22"/>
          <w:szCs w:val="22"/>
        </w:rPr>
        <w:t>he Cost-Effectiveness Analysis (CEA) Registry is a comprehensive database containin</w:t>
      </w:r>
      <w:r w:rsidR="000D3C1A" w:rsidRPr="00E20483">
        <w:rPr>
          <w:rFonts w:ascii="GibsonLight" w:eastAsia="Arial Unicode MS" w:hAnsi="GibsonLight"/>
          <w:bCs/>
          <w:spacing w:val="12"/>
          <w:sz w:val="22"/>
          <w:szCs w:val="22"/>
        </w:rPr>
        <w:t xml:space="preserve">g detailed information on </w:t>
      </w:r>
      <w:r w:rsidR="004D74A7" w:rsidRPr="00E20483">
        <w:rPr>
          <w:rFonts w:ascii="GibsonLight" w:eastAsia="Arial Unicode MS" w:hAnsi="GibsonLight"/>
          <w:bCs/>
          <w:spacing w:val="12"/>
          <w:sz w:val="22"/>
          <w:szCs w:val="22"/>
        </w:rPr>
        <w:t>thousands of</w:t>
      </w:r>
      <w:r w:rsidR="009F13E7" w:rsidRPr="00E20483">
        <w:rPr>
          <w:rFonts w:ascii="GibsonLight" w:eastAsia="Arial Unicode MS" w:hAnsi="GibsonLight"/>
          <w:bCs/>
          <w:spacing w:val="12"/>
          <w:sz w:val="22"/>
          <w:szCs w:val="22"/>
        </w:rPr>
        <w:t xml:space="preserve"> cost-utility ana</w:t>
      </w:r>
      <w:r w:rsidR="000D3C1A" w:rsidRPr="00E20483">
        <w:rPr>
          <w:rFonts w:ascii="GibsonLight" w:eastAsia="Arial Unicode MS" w:hAnsi="GibsonLight"/>
          <w:bCs/>
          <w:spacing w:val="12"/>
          <w:sz w:val="22"/>
          <w:szCs w:val="22"/>
        </w:rPr>
        <w:t xml:space="preserve">lyses published from 1976 to </w:t>
      </w:r>
      <w:r w:rsidR="004D74A7" w:rsidRPr="00E20483">
        <w:rPr>
          <w:rFonts w:ascii="GibsonLight" w:eastAsia="Arial Unicode MS" w:hAnsi="GibsonLight"/>
          <w:bCs/>
          <w:spacing w:val="12"/>
          <w:sz w:val="22"/>
          <w:szCs w:val="22"/>
        </w:rPr>
        <w:t>the present</w:t>
      </w:r>
      <w:r w:rsidR="009F13E7" w:rsidRPr="00E20483">
        <w:rPr>
          <w:rFonts w:ascii="GibsonLight" w:eastAsia="Arial Unicode MS" w:hAnsi="GibsonLight"/>
          <w:bCs/>
          <w:spacing w:val="12"/>
          <w:sz w:val="22"/>
          <w:szCs w:val="22"/>
        </w:rPr>
        <w:t xml:space="preserve">. Health-related CEAs estimate the resources used (costs) and the health benefits achieved (effects) for an intervention compared to an alternative treatment strategy. The Registry focuses on a subset of CEAs, called cost-utility analyses (CUAs) that quantify health benefits in terms of </w:t>
      </w:r>
      <w:r w:rsidR="002E1749" w:rsidRPr="00E20483">
        <w:rPr>
          <w:rFonts w:ascii="GibsonLight" w:eastAsia="Arial Unicode MS" w:hAnsi="GibsonLight"/>
          <w:bCs/>
          <w:spacing w:val="12"/>
          <w:sz w:val="22"/>
          <w:szCs w:val="22"/>
        </w:rPr>
        <w:t>Quality-Adjusted Life Year</w:t>
      </w:r>
      <w:r w:rsidR="009F13E7" w:rsidRPr="00E20483">
        <w:rPr>
          <w:rFonts w:ascii="GibsonLight" w:eastAsia="Arial Unicode MS" w:hAnsi="GibsonLight"/>
          <w:bCs/>
          <w:spacing w:val="12"/>
          <w:sz w:val="22"/>
          <w:szCs w:val="22"/>
        </w:rPr>
        <w:t>s (QALYs)</w:t>
      </w:r>
      <w:r w:rsidRPr="00E20483">
        <w:rPr>
          <w:rFonts w:ascii="GibsonLight" w:eastAsia="Arial Unicode MS" w:hAnsi="GibsonLight"/>
          <w:bCs/>
          <w:spacing w:val="12"/>
          <w:sz w:val="22"/>
          <w:szCs w:val="22"/>
        </w:rPr>
        <w:t xml:space="preserve"> and/or </w:t>
      </w:r>
      <w:r w:rsidR="002E1749" w:rsidRPr="00E20483">
        <w:rPr>
          <w:rFonts w:ascii="GibsonLight" w:eastAsia="Arial Unicode MS" w:hAnsi="GibsonLight"/>
          <w:bCs/>
          <w:spacing w:val="12"/>
          <w:sz w:val="22"/>
          <w:szCs w:val="22"/>
        </w:rPr>
        <w:t>Disability-Adjusted Life Year</w:t>
      </w:r>
      <w:r w:rsidRPr="00E20483">
        <w:rPr>
          <w:rFonts w:ascii="GibsonLight" w:eastAsia="Arial Unicode MS" w:hAnsi="GibsonLight"/>
          <w:bCs/>
          <w:spacing w:val="12"/>
          <w:sz w:val="22"/>
          <w:szCs w:val="22"/>
        </w:rPr>
        <w:t xml:space="preserve">s (DALYs). QALYs are a </w:t>
      </w:r>
      <w:r w:rsidR="00306928" w:rsidRPr="00E20483">
        <w:rPr>
          <w:rFonts w:ascii="GibsonLight" w:eastAsia="Arial Unicode MS" w:hAnsi="GibsonLight"/>
          <w:bCs/>
          <w:spacing w:val="12"/>
          <w:sz w:val="22"/>
          <w:szCs w:val="22"/>
        </w:rPr>
        <w:t>measure of years gained in perfect health</w:t>
      </w:r>
      <w:r w:rsidRPr="00E20483">
        <w:rPr>
          <w:rFonts w:ascii="GibsonLight" w:eastAsia="Arial Unicode MS" w:hAnsi="GibsonLight"/>
          <w:bCs/>
          <w:spacing w:val="12"/>
          <w:sz w:val="22"/>
          <w:szCs w:val="22"/>
        </w:rPr>
        <w:t xml:space="preserve"> while DALYs are a measure of </w:t>
      </w:r>
      <w:r w:rsidR="00306928" w:rsidRPr="00E20483">
        <w:rPr>
          <w:rFonts w:ascii="GibsonLight" w:eastAsia="Arial Unicode MS" w:hAnsi="GibsonLight"/>
          <w:bCs/>
          <w:spacing w:val="12"/>
          <w:sz w:val="22"/>
          <w:szCs w:val="22"/>
        </w:rPr>
        <w:t>lost years in perfect health.</w:t>
      </w:r>
    </w:p>
    <w:p w14:paraId="0158D864" w14:textId="0E1CF06A" w:rsidR="009F13E7" w:rsidRPr="00E20483" w:rsidRDefault="009F13E7" w:rsidP="004B15D0">
      <w:pPr>
        <w:autoSpaceDE/>
        <w:autoSpaceDN/>
        <w:spacing w:after="120"/>
        <w:jc w:val="both"/>
        <w:rPr>
          <w:rFonts w:ascii="GibsonLight" w:eastAsia="Arial Unicode MS" w:hAnsi="GibsonLight"/>
          <w:bCs/>
          <w:spacing w:val="12"/>
          <w:sz w:val="22"/>
          <w:szCs w:val="22"/>
        </w:rPr>
      </w:pPr>
      <w:r w:rsidRPr="00E20483">
        <w:rPr>
          <w:rFonts w:ascii="GibsonLight" w:eastAsia="Arial Unicode MS" w:hAnsi="GibsonLight"/>
          <w:bCs/>
          <w:spacing w:val="12"/>
          <w:sz w:val="22"/>
          <w:szCs w:val="22"/>
        </w:rPr>
        <w:t xml:space="preserve">The objectives of the Registry are to help decision makers identify society's best opportunities for targeting resources to improve health, to assist policymakers in healthcare resource allocation decisions, and to move the field towards the use of standard methodologies. The CEA Registry has been the source of data for </w:t>
      </w:r>
      <w:r w:rsidR="00B87893" w:rsidRPr="00E20483">
        <w:rPr>
          <w:rFonts w:ascii="GibsonLight" w:eastAsia="Arial Unicode MS" w:hAnsi="GibsonLight"/>
          <w:bCs/>
          <w:spacing w:val="12"/>
          <w:sz w:val="22"/>
          <w:szCs w:val="22"/>
        </w:rPr>
        <w:t xml:space="preserve">hundreds of </w:t>
      </w:r>
      <w:r w:rsidR="008C38E2" w:rsidRPr="00E20483">
        <w:rPr>
          <w:rFonts w:ascii="GibsonLight" w:eastAsia="Arial Unicode MS" w:hAnsi="GibsonLight"/>
          <w:bCs/>
          <w:spacing w:val="12"/>
          <w:sz w:val="22"/>
          <w:szCs w:val="22"/>
        </w:rPr>
        <w:t xml:space="preserve">peer-reviewed </w:t>
      </w:r>
      <w:r w:rsidR="00EB3A1F" w:rsidRPr="00E20483">
        <w:rPr>
          <w:rFonts w:ascii="GibsonLight" w:eastAsia="Arial Unicode MS" w:hAnsi="GibsonLight"/>
          <w:bCs/>
          <w:spacing w:val="12"/>
          <w:sz w:val="22"/>
          <w:szCs w:val="22"/>
        </w:rPr>
        <w:t>studie</w:t>
      </w:r>
      <w:r w:rsidRPr="00E20483">
        <w:rPr>
          <w:rFonts w:ascii="GibsonLight" w:eastAsia="Arial Unicode MS" w:hAnsi="GibsonLight"/>
          <w:bCs/>
          <w:spacing w:val="12"/>
          <w:sz w:val="22"/>
          <w:szCs w:val="22"/>
        </w:rPr>
        <w:t>s.</w:t>
      </w:r>
      <w:r w:rsidR="0049113F" w:rsidRPr="00E20483">
        <w:rPr>
          <w:rFonts w:ascii="GibsonLight" w:eastAsia="Arial Unicode MS" w:hAnsi="GibsonLight"/>
          <w:bCs/>
          <w:spacing w:val="12"/>
          <w:sz w:val="22"/>
          <w:szCs w:val="22"/>
        </w:rPr>
        <w:t xml:space="preserve"> </w:t>
      </w:r>
      <w:r w:rsidRPr="00E20483">
        <w:rPr>
          <w:rFonts w:ascii="GibsonLight" w:eastAsia="Arial Unicode MS" w:hAnsi="GibsonLight"/>
          <w:bCs/>
          <w:spacing w:val="12"/>
          <w:sz w:val="22"/>
          <w:szCs w:val="22"/>
        </w:rPr>
        <w:t>It has been used or cited in analyses performed by the Environmental Protection Agency, the Food and Drug Administration, the Institute of Medicine, and the Medicare Payment Assessment Commission.</w:t>
      </w:r>
      <w:r w:rsidR="00940218" w:rsidRPr="00E20483">
        <w:rPr>
          <w:rFonts w:ascii="GibsonLight" w:eastAsia="Arial Unicode MS" w:hAnsi="GibsonLight"/>
          <w:bCs/>
          <w:spacing w:val="12"/>
          <w:sz w:val="22"/>
          <w:szCs w:val="22"/>
        </w:rPr>
        <w:t xml:space="preserve"> Additionally, t</w:t>
      </w:r>
      <w:r w:rsidRPr="00E20483">
        <w:rPr>
          <w:rFonts w:ascii="GibsonLight" w:eastAsia="Arial Unicode MS" w:hAnsi="GibsonLight"/>
          <w:bCs/>
          <w:spacing w:val="12"/>
          <w:sz w:val="22"/>
          <w:szCs w:val="22"/>
        </w:rPr>
        <w:t xml:space="preserve">he </w:t>
      </w:r>
      <w:r w:rsidR="00940218" w:rsidRPr="00E20483">
        <w:rPr>
          <w:rFonts w:ascii="GibsonLight" w:eastAsia="Arial Unicode MS" w:hAnsi="GibsonLight"/>
          <w:bCs/>
          <w:spacing w:val="12"/>
          <w:sz w:val="22"/>
          <w:szCs w:val="22"/>
        </w:rPr>
        <w:t xml:space="preserve">National Library of Medicine lists the </w:t>
      </w:r>
      <w:r w:rsidRPr="00E20483">
        <w:rPr>
          <w:rFonts w:ascii="GibsonLight" w:eastAsia="Arial Unicode MS" w:hAnsi="GibsonLight"/>
          <w:bCs/>
          <w:spacing w:val="12"/>
          <w:sz w:val="22"/>
          <w:szCs w:val="22"/>
        </w:rPr>
        <w:t>CEA Registry as an important health economics resource.</w:t>
      </w:r>
    </w:p>
    <w:p w14:paraId="487231FE" w14:textId="441317C7" w:rsidR="009F13E7" w:rsidRPr="00E20483" w:rsidRDefault="009F13E7" w:rsidP="004B15D0">
      <w:pPr>
        <w:spacing w:after="120"/>
        <w:jc w:val="both"/>
        <w:rPr>
          <w:rFonts w:ascii="GibsonLight" w:eastAsia="Arial Unicode MS" w:hAnsi="GibsonLight"/>
          <w:spacing w:val="12"/>
          <w:sz w:val="22"/>
          <w:szCs w:val="22"/>
        </w:rPr>
      </w:pPr>
      <w:r w:rsidRPr="00E20483">
        <w:rPr>
          <w:rFonts w:ascii="GibsonLight" w:eastAsia="Arial Unicode MS" w:hAnsi="GibsonLight"/>
          <w:spacing w:val="12"/>
          <w:sz w:val="22"/>
          <w:szCs w:val="22"/>
        </w:rPr>
        <w:t xml:space="preserve">The Center for the Evaluation of Value and Risk in Health (CEVR) at the Institute for Clinical Research and Health Policy Studies at Tufts Medical Center in Boston </w:t>
      </w:r>
      <w:r w:rsidR="00940218" w:rsidRPr="00E20483">
        <w:rPr>
          <w:rFonts w:ascii="GibsonLight" w:eastAsia="Arial Unicode MS" w:hAnsi="GibsonLight"/>
          <w:spacing w:val="12"/>
          <w:sz w:val="22"/>
          <w:szCs w:val="22"/>
        </w:rPr>
        <w:t xml:space="preserve">developed the CEA Registry, which can </w:t>
      </w:r>
      <w:r w:rsidRPr="00E20483">
        <w:rPr>
          <w:rFonts w:ascii="GibsonLight" w:eastAsia="Arial Unicode MS" w:hAnsi="GibsonLight"/>
          <w:spacing w:val="12"/>
          <w:sz w:val="22"/>
          <w:szCs w:val="22"/>
        </w:rPr>
        <w:t xml:space="preserve">be found at </w:t>
      </w:r>
      <w:hyperlink r:id="rId8" w:history="1">
        <w:r w:rsidR="003B65D6" w:rsidRPr="00E20483">
          <w:rPr>
            <w:rStyle w:val="Hyperlink"/>
            <w:rFonts w:ascii="GibsonLight" w:eastAsia="Arial Unicode MS" w:hAnsi="GibsonLight"/>
            <w:spacing w:val="12"/>
            <w:sz w:val="22"/>
            <w:szCs w:val="22"/>
          </w:rPr>
          <w:t>https</w:t>
        </w:r>
        <w:r w:rsidR="007174B9" w:rsidRPr="00E20483">
          <w:rPr>
            <w:rStyle w:val="Hyperlink"/>
            <w:rFonts w:ascii="GibsonLight" w:eastAsia="Arial Unicode MS" w:hAnsi="GibsonLight"/>
            <w:spacing w:val="12"/>
            <w:sz w:val="22"/>
            <w:szCs w:val="22"/>
          </w:rPr>
          <w:t>:</w:t>
        </w:r>
        <w:r w:rsidR="003B65D6" w:rsidRPr="00E20483">
          <w:rPr>
            <w:rStyle w:val="Hyperlink"/>
            <w:rFonts w:ascii="GibsonLight" w:eastAsia="Arial Unicode MS" w:hAnsi="GibsonLight"/>
            <w:spacing w:val="12"/>
            <w:sz w:val="22"/>
            <w:szCs w:val="22"/>
          </w:rPr>
          <w:t>//cear.tuftsmedicalcenter.org</w:t>
        </w:r>
      </w:hyperlink>
      <w:r w:rsidR="00B87893" w:rsidRPr="00E20483">
        <w:rPr>
          <w:rFonts w:ascii="GibsonLight" w:eastAsia="Arial Unicode MS" w:hAnsi="GibsonLight"/>
          <w:spacing w:val="12"/>
          <w:sz w:val="22"/>
          <w:szCs w:val="22"/>
        </w:rPr>
        <w:t xml:space="preserve">. </w:t>
      </w:r>
    </w:p>
    <w:p w14:paraId="409C4252" w14:textId="67C9736B" w:rsidR="009F13E7" w:rsidRPr="004F0578" w:rsidRDefault="009F13E7" w:rsidP="004B15D0">
      <w:pPr>
        <w:autoSpaceDE/>
        <w:autoSpaceDN/>
        <w:spacing w:after="120"/>
        <w:rPr>
          <w:rFonts w:ascii="GibsonLight" w:eastAsia="Arial Unicode MS" w:hAnsi="GibsonLight"/>
          <w:spacing w:val="12"/>
        </w:rPr>
      </w:pPr>
      <w:r w:rsidRPr="004F0578">
        <w:rPr>
          <w:rFonts w:ascii="GibsonLight" w:eastAsia="Arial Unicode MS" w:hAnsi="GibsonLight"/>
          <w:spacing w:val="12"/>
        </w:rPr>
        <w:br w:type="page"/>
      </w:r>
    </w:p>
    <w:p w14:paraId="5A5530C7" w14:textId="113D34A3" w:rsidR="009F13E7" w:rsidRPr="004F0578" w:rsidRDefault="009F13E7" w:rsidP="004B15D0">
      <w:pPr>
        <w:pStyle w:val="Heading1"/>
        <w:numPr>
          <w:ilvl w:val="0"/>
          <w:numId w:val="0"/>
        </w:numPr>
        <w:spacing w:after="120"/>
        <w:rPr>
          <w:rFonts w:ascii="Gibson" w:eastAsia="Arial Unicode MS" w:hAnsi="Gibson"/>
          <w:b w:val="0"/>
          <w:spacing w:val="12"/>
          <w:sz w:val="44"/>
        </w:rPr>
      </w:pPr>
      <w:bookmarkStart w:id="5" w:name="_Toc100072025"/>
      <w:r w:rsidRPr="004F0578">
        <w:rPr>
          <w:rFonts w:ascii="Gibson" w:eastAsia="Arial Unicode MS" w:hAnsi="Gibson"/>
          <w:b w:val="0"/>
          <w:spacing w:val="12"/>
          <w:sz w:val="44"/>
        </w:rPr>
        <w:lastRenderedPageBreak/>
        <w:t>Database Structure</w:t>
      </w:r>
      <w:bookmarkEnd w:id="5"/>
    </w:p>
    <w:p w14:paraId="1C36F3CD" w14:textId="37E4727E" w:rsidR="009F13E7" w:rsidRPr="00E20483" w:rsidRDefault="009F13E7" w:rsidP="004B15D0">
      <w:pPr>
        <w:spacing w:after="120"/>
        <w:rPr>
          <w:rFonts w:ascii="GibsonLight" w:eastAsia="Arial Unicode MS" w:hAnsi="GibsonLight"/>
          <w:spacing w:val="12"/>
          <w:sz w:val="22"/>
          <w:szCs w:val="24"/>
        </w:rPr>
      </w:pPr>
      <w:r w:rsidRPr="00E20483">
        <w:rPr>
          <w:rFonts w:ascii="GibsonLight" w:eastAsia="Arial Unicode MS" w:hAnsi="GibsonLight"/>
          <w:spacing w:val="12"/>
          <w:sz w:val="22"/>
          <w:szCs w:val="24"/>
        </w:rPr>
        <w:t>The CEA Registry has three main sections</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w:t>
      </w:r>
    </w:p>
    <w:p w14:paraId="0333C276" w14:textId="4259BC33" w:rsidR="009F13E7" w:rsidRPr="00E20483" w:rsidRDefault="009F13E7" w:rsidP="004B15D0">
      <w:pPr>
        <w:pStyle w:val="ListParagraph"/>
        <w:numPr>
          <w:ilvl w:val="0"/>
          <w:numId w:val="4"/>
        </w:numPr>
        <w:spacing w:after="120"/>
        <w:rPr>
          <w:rFonts w:ascii="GibsonLight" w:eastAsia="Arial Unicode MS" w:hAnsi="GibsonLight"/>
          <w:spacing w:val="12"/>
          <w:sz w:val="22"/>
          <w:szCs w:val="24"/>
        </w:rPr>
      </w:pPr>
      <w:r w:rsidRPr="00E20483">
        <w:rPr>
          <w:rFonts w:ascii="GibsonLight" w:eastAsia="Arial Unicode MS" w:hAnsi="GibsonLight"/>
          <w:b/>
          <w:spacing w:val="12"/>
          <w:sz w:val="22"/>
          <w:szCs w:val="24"/>
        </w:rPr>
        <w:t>Methods</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contains one record for each article.</w:t>
      </w:r>
    </w:p>
    <w:p w14:paraId="73B7EB2D" w14:textId="1A83D2AC" w:rsidR="009F13E7" w:rsidRPr="00E20483" w:rsidRDefault="009F13E7" w:rsidP="004B15D0">
      <w:pPr>
        <w:pStyle w:val="ListParagraph"/>
        <w:numPr>
          <w:ilvl w:val="0"/>
          <w:numId w:val="4"/>
        </w:numPr>
        <w:spacing w:after="120"/>
        <w:rPr>
          <w:rFonts w:ascii="GibsonLight" w:eastAsia="Arial Unicode MS" w:hAnsi="GibsonLight"/>
          <w:spacing w:val="12"/>
          <w:sz w:val="22"/>
          <w:szCs w:val="24"/>
        </w:rPr>
      </w:pPr>
      <w:r w:rsidRPr="00E20483">
        <w:rPr>
          <w:rFonts w:ascii="GibsonLight" w:eastAsia="Arial Unicode MS" w:hAnsi="GibsonLight"/>
          <w:b/>
          <w:spacing w:val="12"/>
          <w:sz w:val="22"/>
          <w:szCs w:val="24"/>
        </w:rPr>
        <w:t>Ratio</w:t>
      </w:r>
      <w:r w:rsidR="00007778" w:rsidRPr="00E20483">
        <w:rPr>
          <w:rFonts w:ascii="GibsonLight" w:eastAsia="Arial Unicode MS" w:hAnsi="GibsonLight"/>
          <w:b/>
          <w:spacing w:val="12"/>
          <w:sz w:val="22"/>
          <w:szCs w:val="24"/>
        </w:rPr>
        <w:t>s</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contains one or more ratio records for each article. </w:t>
      </w:r>
    </w:p>
    <w:p w14:paraId="71C61409" w14:textId="0409B3BC" w:rsidR="009F13E7" w:rsidRPr="00E20483" w:rsidRDefault="009F13E7" w:rsidP="004B15D0">
      <w:pPr>
        <w:pStyle w:val="ListParagraph"/>
        <w:numPr>
          <w:ilvl w:val="0"/>
          <w:numId w:val="4"/>
        </w:numPr>
        <w:spacing w:after="120"/>
        <w:rPr>
          <w:rFonts w:ascii="GibsonLight" w:eastAsia="Arial Unicode MS" w:hAnsi="GibsonLight"/>
          <w:spacing w:val="12"/>
          <w:sz w:val="22"/>
          <w:szCs w:val="24"/>
        </w:rPr>
      </w:pPr>
      <w:r w:rsidRPr="00E20483">
        <w:rPr>
          <w:rFonts w:ascii="GibsonLight" w:eastAsia="Arial Unicode MS" w:hAnsi="GibsonLight"/>
          <w:b/>
          <w:spacing w:val="12"/>
          <w:sz w:val="22"/>
          <w:szCs w:val="24"/>
        </w:rPr>
        <w:t xml:space="preserve">Utility </w:t>
      </w:r>
      <w:r w:rsidR="00B87893" w:rsidRPr="00E20483">
        <w:rPr>
          <w:rFonts w:ascii="GibsonLight" w:eastAsia="Arial Unicode MS" w:hAnsi="GibsonLight"/>
          <w:b/>
          <w:spacing w:val="12"/>
          <w:sz w:val="22"/>
          <w:szCs w:val="24"/>
        </w:rPr>
        <w:t xml:space="preserve">or Disability </w:t>
      </w:r>
      <w:r w:rsidRPr="00E20483">
        <w:rPr>
          <w:rFonts w:ascii="GibsonLight" w:eastAsia="Arial Unicode MS" w:hAnsi="GibsonLight"/>
          <w:b/>
          <w:spacing w:val="12"/>
          <w:sz w:val="22"/>
          <w:szCs w:val="24"/>
        </w:rPr>
        <w:t>Weight</w:t>
      </w:r>
      <w:r w:rsidR="00007778" w:rsidRPr="00E20483">
        <w:rPr>
          <w:rFonts w:ascii="GibsonLight" w:eastAsia="Arial Unicode MS" w:hAnsi="GibsonLight"/>
          <w:spacing w:val="12"/>
          <w:sz w:val="22"/>
          <w:szCs w:val="24"/>
        </w:rPr>
        <w:t>s</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contains </w:t>
      </w:r>
      <w:r w:rsidR="00306928" w:rsidRPr="00E20483">
        <w:rPr>
          <w:rFonts w:ascii="GibsonLight" w:eastAsia="Arial Unicode MS" w:hAnsi="GibsonLight"/>
          <w:spacing w:val="12"/>
          <w:sz w:val="22"/>
          <w:szCs w:val="24"/>
        </w:rPr>
        <w:t>zero</w:t>
      </w:r>
      <w:r w:rsidRPr="00E20483">
        <w:rPr>
          <w:rFonts w:ascii="GibsonLight" w:eastAsia="Arial Unicode MS" w:hAnsi="GibsonLight"/>
          <w:spacing w:val="12"/>
          <w:sz w:val="22"/>
          <w:szCs w:val="24"/>
        </w:rPr>
        <w:t xml:space="preserve"> or more utility </w:t>
      </w:r>
      <w:r w:rsidR="00B87893" w:rsidRPr="00E20483">
        <w:rPr>
          <w:rFonts w:ascii="GibsonLight" w:eastAsia="Arial Unicode MS" w:hAnsi="GibsonLight"/>
          <w:spacing w:val="12"/>
          <w:sz w:val="22"/>
          <w:szCs w:val="24"/>
        </w:rPr>
        <w:t xml:space="preserve">or disability </w:t>
      </w:r>
      <w:r w:rsidRPr="00E20483">
        <w:rPr>
          <w:rFonts w:ascii="GibsonLight" w:eastAsia="Arial Unicode MS" w:hAnsi="GibsonLight"/>
          <w:spacing w:val="12"/>
          <w:sz w:val="22"/>
          <w:szCs w:val="24"/>
        </w:rPr>
        <w:t xml:space="preserve">weight records for each article. </w:t>
      </w:r>
    </w:p>
    <w:p w14:paraId="56FB833F" w14:textId="6F2091B9" w:rsidR="009F13E7" w:rsidRPr="00E20483" w:rsidRDefault="00726EBD" w:rsidP="004B15D0">
      <w:pPr>
        <w:spacing w:after="120"/>
        <w:rPr>
          <w:rFonts w:ascii="GibsonLight" w:eastAsia="Arial Unicode MS" w:hAnsi="GibsonLight"/>
          <w:spacing w:val="12"/>
          <w:sz w:val="22"/>
          <w:szCs w:val="24"/>
        </w:rPr>
      </w:pPr>
      <w:r w:rsidRPr="00E20483">
        <w:rPr>
          <w:rFonts w:ascii="GibsonLight" w:eastAsia="Arial Unicode MS" w:hAnsi="GibsonLight"/>
          <w:spacing w:val="12"/>
          <w:sz w:val="22"/>
          <w:szCs w:val="24"/>
        </w:rPr>
        <w:fldChar w:fldCharType="begin"/>
      </w:r>
      <w:r w:rsidRPr="00E20483">
        <w:rPr>
          <w:rFonts w:ascii="GibsonLight" w:eastAsia="Arial Unicode MS" w:hAnsi="GibsonLight"/>
          <w:spacing w:val="12"/>
          <w:sz w:val="22"/>
          <w:szCs w:val="24"/>
        </w:rPr>
        <w:instrText xml:space="preserve"> REF _Ref81316039 \h  \* MERGEFORMAT </w:instrText>
      </w:r>
      <w:r w:rsidRPr="00E20483">
        <w:rPr>
          <w:rFonts w:ascii="GibsonLight" w:eastAsia="Arial Unicode MS" w:hAnsi="GibsonLight"/>
          <w:spacing w:val="12"/>
          <w:sz w:val="22"/>
          <w:szCs w:val="24"/>
        </w:rPr>
      </w:r>
      <w:r w:rsidRPr="00E20483">
        <w:rPr>
          <w:rFonts w:ascii="GibsonLight" w:eastAsia="Arial Unicode MS" w:hAnsi="GibsonLight"/>
          <w:spacing w:val="12"/>
          <w:sz w:val="22"/>
          <w:szCs w:val="24"/>
        </w:rPr>
        <w:fldChar w:fldCharType="separate"/>
      </w:r>
      <w:r w:rsidR="00BF7CC8" w:rsidRPr="00E20483">
        <w:rPr>
          <w:rFonts w:ascii="GibsonLight" w:eastAsia="Arial Unicode MS" w:hAnsi="GibsonLight"/>
          <w:spacing w:val="12"/>
          <w:sz w:val="22"/>
          <w:szCs w:val="24"/>
        </w:rPr>
        <w:t xml:space="preserve">Figure </w:t>
      </w:r>
      <w:r w:rsidR="00BF7CC8" w:rsidRPr="00E20483">
        <w:rPr>
          <w:rFonts w:ascii="GibsonLight" w:eastAsia="Arial Unicode MS" w:hAnsi="GibsonLight"/>
          <w:noProof/>
          <w:spacing w:val="12"/>
          <w:sz w:val="22"/>
          <w:szCs w:val="24"/>
        </w:rPr>
        <w:t>1</w:t>
      </w:r>
      <w:r w:rsidRPr="00E20483">
        <w:rPr>
          <w:rFonts w:ascii="GibsonLight" w:eastAsia="Arial Unicode MS" w:hAnsi="GibsonLight"/>
          <w:spacing w:val="12"/>
          <w:sz w:val="22"/>
          <w:szCs w:val="24"/>
        </w:rPr>
        <w:fldChar w:fldCharType="end"/>
      </w:r>
      <w:r w:rsidR="009F13E7" w:rsidRPr="00E20483">
        <w:rPr>
          <w:rFonts w:ascii="GibsonLight" w:eastAsia="Arial Unicode MS" w:hAnsi="GibsonLight"/>
          <w:spacing w:val="12"/>
          <w:sz w:val="22"/>
          <w:szCs w:val="24"/>
        </w:rPr>
        <w:t xml:space="preserve"> illustrates the Registry’s contents for a single article that reports information for </w:t>
      </w:r>
      <w:r w:rsidR="009F13E7" w:rsidRPr="00E20483">
        <w:rPr>
          <w:rFonts w:ascii="GibsonLight" w:eastAsia="Arial Unicode MS" w:hAnsi="GibsonLight"/>
          <w:i/>
          <w:spacing w:val="12"/>
          <w:sz w:val="22"/>
          <w:szCs w:val="24"/>
        </w:rPr>
        <w:t>N</w:t>
      </w:r>
      <w:r w:rsidR="009F13E7" w:rsidRPr="00E20483">
        <w:rPr>
          <w:rFonts w:ascii="GibsonLight" w:eastAsia="Arial Unicode MS" w:hAnsi="GibsonLight"/>
          <w:spacing w:val="12"/>
          <w:sz w:val="22"/>
          <w:szCs w:val="24"/>
        </w:rPr>
        <w:t xml:space="preserve"> ratios and </w:t>
      </w:r>
      <w:r w:rsidR="009F13E7" w:rsidRPr="00E20483">
        <w:rPr>
          <w:rFonts w:ascii="GibsonLight" w:eastAsia="Arial Unicode MS" w:hAnsi="GibsonLight"/>
          <w:i/>
          <w:spacing w:val="12"/>
          <w:sz w:val="22"/>
          <w:szCs w:val="24"/>
        </w:rPr>
        <w:t>N</w:t>
      </w:r>
      <w:r w:rsidR="009F13E7" w:rsidRPr="00E20483">
        <w:rPr>
          <w:rFonts w:ascii="GibsonLight" w:eastAsia="Arial Unicode MS" w:hAnsi="GibsonLight"/>
          <w:spacing w:val="12"/>
          <w:sz w:val="22"/>
          <w:szCs w:val="24"/>
        </w:rPr>
        <w:t xml:space="preserve"> utility weights.</w:t>
      </w:r>
    </w:p>
    <w:p w14:paraId="684D07E0" w14:textId="17FFBCAA" w:rsidR="00726EBD" w:rsidRPr="004F0578" w:rsidRDefault="00726EBD" w:rsidP="004B15D0">
      <w:pPr>
        <w:spacing w:after="120"/>
        <w:rPr>
          <w:rFonts w:ascii="GibsonLight" w:eastAsia="Arial Unicode MS" w:hAnsi="GibsonLight"/>
          <w:spacing w:val="12"/>
          <w:sz w:val="22"/>
          <w:szCs w:val="22"/>
        </w:rPr>
      </w:pPr>
      <w:r w:rsidRPr="004F0578">
        <w:rPr>
          <w:rFonts w:ascii="GibsonLight" w:eastAsia="Arial Unicode MS" w:hAnsi="GibsonLight"/>
          <w:noProof/>
          <w:spacing w:val="12"/>
        </w:rPr>
        <mc:AlternateContent>
          <mc:Choice Requires="wps">
            <w:drawing>
              <wp:anchor distT="0" distB="0" distL="114300" distR="114300" simplePos="0" relativeHeight="251669504" behindDoc="0" locked="0" layoutInCell="1" allowOverlap="1" wp14:anchorId="0AAC45D4" wp14:editId="28FF490F">
                <wp:simplePos x="0" y="0"/>
                <wp:positionH relativeFrom="column">
                  <wp:posOffset>214685</wp:posOffset>
                </wp:positionH>
                <wp:positionV relativeFrom="paragraph">
                  <wp:posOffset>193841</wp:posOffset>
                </wp:positionV>
                <wp:extent cx="5895340" cy="278295"/>
                <wp:effectExtent l="0" t="0" r="0" b="7620"/>
                <wp:wrapNone/>
                <wp:docPr id="199" name="Text Box 199"/>
                <wp:cNvGraphicFramePr/>
                <a:graphic xmlns:a="http://schemas.openxmlformats.org/drawingml/2006/main">
                  <a:graphicData uri="http://schemas.microsoft.com/office/word/2010/wordprocessingShape">
                    <wps:wsp>
                      <wps:cNvSpPr txBox="1"/>
                      <wps:spPr>
                        <a:xfrm>
                          <a:off x="0" y="0"/>
                          <a:ext cx="5895340" cy="278295"/>
                        </a:xfrm>
                        <a:prstGeom prst="rect">
                          <a:avLst/>
                        </a:prstGeom>
                        <a:solidFill>
                          <a:prstClr val="white"/>
                        </a:solidFill>
                        <a:ln>
                          <a:noFill/>
                        </a:ln>
                        <a:effectLst/>
                      </wps:spPr>
                      <wps:txbx>
                        <w:txbxContent>
                          <w:p w14:paraId="402341C0" w14:textId="461C13FF" w:rsidR="00B266CE" w:rsidRPr="00940218" w:rsidRDefault="00B266CE" w:rsidP="00726EBD">
                            <w:pPr>
                              <w:pStyle w:val="Caption"/>
                              <w:rPr>
                                <w:rFonts w:ascii="GibsonLight" w:hAnsi="GibsonLight"/>
                                <w:b/>
                                <w:i w:val="0"/>
                                <w:noProof/>
                                <w:color w:val="auto"/>
                                <w:spacing w:val="16"/>
                                <w:sz w:val="24"/>
                                <w:szCs w:val="24"/>
                              </w:rPr>
                            </w:pPr>
                            <w:bookmarkStart w:id="6" w:name="_Ref81316039"/>
                            <w:r w:rsidRPr="00940218">
                              <w:rPr>
                                <w:rFonts w:ascii="GibsonLight" w:hAnsi="GibsonLight"/>
                                <w:b/>
                                <w:i w:val="0"/>
                                <w:color w:val="auto"/>
                                <w:spacing w:val="16"/>
                                <w:sz w:val="24"/>
                                <w:szCs w:val="24"/>
                              </w:rPr>
                              <w:t xml:space="preserve">Figure </w:t>
                            </w:r>
                            <w:r w:rsidRPr="00940218">
                              <w:rPr>
                                <w:rFonts w:ascii="GibsonLight" w:hAnsi="GibsonLight"/>
                                <w:b/>
                                <w:i w:val="0"/>
                                <w:color w:val="auto"/>
                                <w:spacing w:val="16"/>
                                <w:sz w:val="24"/>
                                <w:szCs w:val="24"/>
                              </w:rPr>
                              <w:fldChar w:fldCharType="begin"/>
                            </w:r>
                            <w:r w:rsidRPr="00940218">
                              <w:rPr>
                                <w:rFonts w:ascii="GibsonLight" w:hAnsi="GibsonLight"/>
                                <w:b/>
                                <w:i w:val="0"/>
                                <w:color w:val="auto"/>
                                <w:spacing w:val="16"/>
                                <w:sz w:val="24"/>
                                <w:szCs w:val="24"/>
                              </w:rPr>
                              <w:instrText xml:space="preserve"> SEQ Figure \* ARABIC </w:instrText>
                            </w:r>
                            <w:r w:rsidRPr="00940218">
                              <w:rPr>
                                <w:rFonts w:ascii="GibsonLight" w:hAnsi="GibsonLight"/>
                                <w:b/>
                                <w:i w:val="0"/>
                                <w:color w:val="auto"/>
                                <w:spacing w:val="16"/>
                                <w:sz w:val="24"/>
                                <w:szCs w:val="24"/>
                              </w:rPr>
                              <w:fldChar w:fldCharType="separate"/>
                            </w:r>
                            <w:r w:rsidRPr="00940218">
                              <w:rPr>
                                <w:rFonts w:ascii="GibsonLight" w:hAnsi="GibsonLight"/>
                                <w:b/>
                                <w:i w:val="0"/>
                                <w:noProof/>
                                <w:color w:val="auto"/>
                                <w:spacing w:val="16"/>
                                <w:sz w:val="24"/>
                                <w:szCs w:val="24"/>
                              </w:rPr>
                              <w:t>1</w:t>
                            </w:r>
                            <w:r w:rsidRPr="00940218">
                              <w:rPr>
                                <w:rFonts w:ascii="GibsonLight" w:hAnsi="GibsonLight"/>
                                <w:b/>
                                <w:i w:val="0"/>
                                <w:color w:val="auto"/>
                                <w:spacing w:val="16"/>
                                <w:sz w:val="24"/>
                                <w:szCs w:val="24"/>
                              </w:rPr>
                              <w:fldChar w:fldCharType="end"/>
                            </w:r>
                            <w:bookmarkEnd w:id="6"/>
                            <w:r w:rsidRPr="00940218">
                              <w:rPr>
                                <w:rFonts w:ascii="GibsonLight" w:hAnsi="GibsonLight"/>
                                <w:b/>
                                <w:i w:val="0"/>
                                <w:color w:val="auto"/>
                                <w:spacing w:val="16"/>
                                <w:sz w:val="24"/>
                                <w:szCs w:val="24"/>
                              </w:rPr>
                              <w:t>. CEA Registry Hierarchical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AC45D4" id="_x0000_t202" coordsize="21600,21600" o:spt="202" path="m,l,21600r21600,l21600,xe">
                <v:stroke joinstyle="miter"/>
                <v:path gradientshapeok="t" o:connecttype="rect"/>
              </v:shapetype>
              <v:shape id="Text Box 199" o:spid="_x0000_s1026" type="#_x0000_t202" style="position:absolute;margin-left:16.9pt;margin-top:15.25pt;width:464.2pt;height:21.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" stroked="f">
                <v:textbox inset="0,0,0,0">
                  <w:txbxContent>
                    <w:p w14:paraId="402341C0" w14:textId="461C13FF" w:rsidR="00B266CE" w:rsidRPr="00940218" w:rsidRDefault="00B266CE" w:rsidP="00726EBD">
                      <w:pPr>
                        <w:pStyle w:val="Caption"/>
                        <w:rPr>
                          <w:rFonts w:ascii="GibsonLight" w:hAnsi="GibsonLight"/>
                          <w:b/>
                          <w:i w:val="0"/>
                          <w:noProof/>
                          <w:color w:val="auto"/>
                          <w:spacing w:val="16"/>
                          <w:sz w:val="24"/>
                          <w:szCs w:val="24"/>
                        </w:rPr>
                      </w:pPr>
                      <w:bookmarkStart w:id="7" w:name="_Ref81316039"/>
                      <w:r w:rsidRPr="00940218">
                        <w:rPr>
                          <w:rFonts w:ascii="GibsonLight" w:hAnsi="GibsonLight"/>
                          <w:b/>
                          <w:i w:val="0"/>
                          <w:color w:val="auto"/>
                          <w:spacing w:val="16"/>
                          <w:sz w:val="24"/>
                          <w:szCs w:val="24"/>
                        </w:rPr>
                        <w:t xml:space="preserve">Figure </w:t>
                      </w:r>
                      <w:r w:rsidRPr="00940218">
                        <w:rPr>
                          <w:rFonts w:ascii="GibsonLight" w:hAnsi="GibsonLight"/>
                          <w:b/>
                          <w:i w:val="0"/>
                          <w:color w:val="auto"/>
                          <w:spacing w:val="16"/>
                          <w:sz w:val="24"/>
                          <w:szCs w:val="24"/>
                        </w:rPr>
                        <w:fldChar w:fldCharType="begin"/>
                      </w:r>
                      <w:r w:rsidRPr="00940218">
                        <w:rPr>
                          <w:rFonts w:ascii="GibsonLight" w:hAnsi="GibsonLight"/>
                          <w:b/>
                          <w:i w:val="0"/>
                          <w:color w:val="auto"/>
                          <w:spacing w:val="16"/>
                          <w:sz w:val="24"/>
                          <w:szCs w:val="24"/>
                        </w:rPr>
                        <w:instrText xml:space="preserve"> SEQ Figure \* ARABIC </w:instrText>
                      </w:r>
                      <w:r w:rsidRPr="00940218">
                        <w:rPr>
                          <w:rFonts w:ascii="GibsonLight" w:hAnsi="GibsonLight"/>
                          <w:b/>
                          <w:i w:val="0"/>
                          <w:color w:val="auto"/>
                          <w:spacing w:val="16"/>
                          <w:sz w:val="24"/>
                          <w:szCs w:val="24"/>
                        </w:rPr>
                        <w:fldChar w:fldCharType="separate"/>
                      </w:r>
                      <w:r w:rsidRPr="00940218">
                        <w:rPr>
                          <w:rFonts w:ascii="GibsonLight" w:hAnsi="GibsonLight"/>
                          <w:b/>
                          <w:i w:val="0"/>
                          <w:noProof/>
                          <w:color w:val="auto"/>
                          <w:spacing w:val="16"/>
                          <w:sz w:val="24"/>
                          <w:szCs w:val="24"/>
                        </w:rPr>
                        <w:t>1</w:t>
                      </w:r>
                      <w:r w:rsidRPr="00940218">
                        <w:rPr>
                          <w:rFonts w:ascii="GibsonLight" w:hAnsi="GibsonLight"/>
                          <w:b/>
                          <w:i w:val="0"/>
                          <w:color w:val="auto"/>
                          <w:spacing w:val="16"/>
                          <w:sz w:val="24"/>
                          <w:szCs w:val="24"/>
                        </w:rPr>
                        <w:fldChar w:fldCharType="end"/>
                      </w:r>
                      <w:bookmarkEnd w:id="7"/>
                      <w:r w:rsidRPr="00940218">
                        <w:rPr>
                          <w:rFonts w:ascii="GibsonLight" w:hAnsi="GibsonLight"/>
                          <w:b/>
                          <w:i w:val="0"/>
                          <w:color w:val="auto"/>
                          <w:spacing w:val="16"/>
                          <w:sz w:val="24"/>
                          <w:szCs w:val="24"/>
                        </w:rPr>
                        <w:t>. CEA Registry Hierarchical Structure</w:t>
                      </w:r>
                    </w:p>
                  </w:txbxContent>
                </v:textbox>
              </v:shape>
            </w:pict>
          </mc:Fallback>
        </mc:AlternateContent>
      </w:r>
    </w:p>
    <w:p w14:paraId="09E6E9F9" w14:textId="77777777" w:rsidR="009F13E7" w:rsidRPr="004F0578" w:rsidRDefault="009F13E7" w:rsidP="004B15D0">
      <w:pPr>
        <w:spacing w:after="120"/>
        <w:rPr>
          <w:rFonts w:ascii="GibsonLight" w:eastAsia="Arial Unicode MS" w:hAnsi="GibsonLight"/>
          <w:b/>
          <w:bCs/>
          <w:spacing w:val="12"/>
          <w:sz w:val="22"/>
          <w:szCs w:val="22"/>
        </w:rPr>
      </w:pPr>
    </w:p>
    <w:p w14:paraId="7803D815" w14:textId="5CC54BF4" w:rsidR="009F13E7" w:rsidRPr="004F0578" w:rsidRDefault="00726EBD" w:rsidP="004B15D0">
      <w:pPr>
        <w:spacing w:after="120"/>
        <w:rPr>
          <w:rFonts w:ascii="GibsonLight" w:eastAsia="Arial Unicode MS" w:hAnsi="GibsonLight"/>
          <w:b/>
          <w:spacing w:val="12"/>
          <w:sz w:val="32"/>
        </w:rPr>
      </w:pPr>
      <w:r w:rsidRPr="004F0578">
        <w:rPr>
          <w:rFonts w:ascii="GibsonLight" w:eastAsia="Arial Unicode MS" w:hAnsi="GibsonLight"/>
          <w:b/>
          <w:noProof/>
          <w:spacing w:val="12"/>
          <w:sz w:val="32"/>
        </w:rPr>
        <mc:AlternateContent>
          <mc:Choice Requires="wpg">
            <w:drawing>
              <wp:anchor distT="0" distB="0" distL="114300" distR="114300" simplePos="0" relativeHeight="251653120" behindDoc="0" locked="0" layoutInCell="1" allowOverlap="1" wp14:anchorId="66FFC21C" wp14:editId="4F688151">
                <wp:simplePos x="0" y="0"/>
                <wp:positionH relativeFrom="column">
                  <wp:posOffset>219974</wp:posOffset>
                </wp:positionH>
                <wp:positionV relativeFrom="paragraph">
                  <wp:posOffset>173978</wp:posOffset>
                </wp:positionV>
                <wp:extent cx="5895727" cy="3466769"/>
                <wp:effectExtent l="19050" t="19050" r="10160" b="19685"/>
                <wp:wrapNone/>
                <wp:docPr id="198" name="Group 198"/>
                <wp:cNvGraphicFramePr/>
                <a:graphic xmlns:a="http://schemas.openxmlformats.org/drawingml/2006/main">
                  <a:graphicData uri="http://schemas.microsoft.com/office/word/2010/wordprocessingGroup">
                    <wpg:wgp>
                      <wpg:cNvGrpSpPr/>
                      <wpg:grpSpPr>
                        <a:xfrm>
                          <a:off x="0" y="0"/>
                          <a:ext cx="5895727" cy="3466769"/>
                          <a:chOff x="0" y="0"/>
                          <a:chExt cx="5895727" cy="3466769"/>
                        </a:xfrm>
                      </wpg:grpSpPr>
                      <wps:wsp>
                        <wps:cNvPr id="23" name="AutoShape 6"/>
                        <wps:cNvSpPr>
                          <a:spLocks noChangeArrowheads="1"/>
                        </wps:cNvSpPr>
                        <wps:spPr bwMode="auto">
                          <a:xfrm>
                            <a:off x="1416906" y="0"/>
                            <a:ext cx="3061308" cy="1126463"/>
                          </a:xfrm>
                          <a:prstGeom prst="roundRect">
                            <a:avLst/>
                          </a:prstGeom>
                          <a:solidFill>
                            <a:schemeClr val="accent1">
                              <a:lumMod val="60000"/>
                              <a:lumOff val="40000"/>
                            </a:schemeClr>
                          </a:solidFill>
                          <a:ln w="38100">
                            <a:solidFill>
                              <a:srgbClr val="002060"/>
                            </a:solidFill>
                          </a:ln>
                        </wps:spPr>
                        <wps:txbx>
                          <w:txbxContent>
                            <w:p w14:paraId="4B20A601" w14:textId="77777777" w:rsidR="00B266CE" w:rsidRPr="00940218" w:rsidRDefault="00B266CE" w:rsidP="009F13E7">
                              <w:pPr>
                                <w:rPr>
                                  <w:rFonts w:ascii="GibsonLight" w:hAnsi="GibsonLight"/>
                                  <w:color w:val="002060"/>
                                  <w:sz w:val="22"/>
                                  <w:szCs w:val="22"/>
                                </w:rPr>
                              </w:pPr>
                            </w:p>
                            <w:p w14:paraId="3E8D3F97" w14:textId="77777777" w:rsidR="00B266CE" w:rsidRPr="00940218" w:rsidRDefault="00B266CE" w:rsidP="009F13E7">
                              <w:pPr>
                                <w:rPr>
                                  <w:rFonts w:ascii="GibsonLight" w:hAnsi="GibsonLight"/>
                                  <w:color w:val="002060"/>
                                  <w:sz w:val="22"/>
                                  <w:szCs w:val="22"/>
                                </w:rPr>
                              </w:pPr>
                            </w:p>
                            <w:p w14:paraId="4BCD6BC8" w14:textId="77777777" w:rsidR="00B266CE" w:rsidRPr="00940218" w:rsidRDefault="00B266CE" w:rsidP="009F13E7">
                              <w:pPr>
                                <w:jc w:val="center"/>
                                <w:rPr>
                                  <w:rFonts w:ascii="GibsonLight" w:hAnsi="GibsonLight"/>
                                  <w:color w:val="002060"/>
                                  <w:sz w:val="22"/>
                                  <w:szCs w:val="22"/>
                                </w:rPr>
                              </w:pPr>
                            </w:p>
                            <w:p w14:paraId="55C34B13" w14:textId="77777777" w:rsidR="00B266CE" w:rsidRPr="00940218" w:rsidRDefault="00B266CE" w:rsidP="009F13E7">
                              <w:pPr>
                                <w:jc w:val="center"/>
                                <w:rPr>
                                  <w:rFonts w:ascii="GibsonLight" w:hAnsi="GibsonLight"/>
                                  <w:b/>
                                  <w:color w:val="002060"/>
                                  <w:sz w:val="28"/>
                                  <w:szCs w:val="22"/>
                                </w:rPr>
                              </w:pPr>
                              <w:r w:rsidRPr="00940218">
                                <w:rPr>
                                  <w:rFonts w:ascii="GibsonLight" w:hAnsi="GibsonLight"/>
                                  <w:b/>
                                  <w:color w:val="002060"/>
                                  <w:sz w:val="28"/>
                                  <w:szCs w:val="22"/>
                                </w:rPr>
                                <w:t>Methods Section</w:t>
                              </w:r>
                            </w:p>
                          </w:txbxContent>
                        </wps:txbx>
                        <wps:bodyPr rot="0" vert="horz" wrap="square" lIns="91440" tIns="45720" rIns="91440" bIns="45720" anchor="ctr" anchorCtr="0" upright="1">
                          <a:noAutofit/>
                        </wps:bodyPr>
                      </wps:wsp>
                      <wps:wsp>
                        <wps:cNvPr id="24" name="AutoShape 6"/>
                        <wps:cNvSpPr>
                          <a:spLocks noChangeArrowheads="1"/>
                        </wps:cNvSpPr>
                        <wps:spPr bwMode="auto">
                          <a:xfrm>
                            <a:off x="2035534" y="182880"/>
                            <a:ext cx="1828784" cy="419910"/>
                          </a:xfrm>
                          <a:prstGeom prst="roundRect">
                            <a:avLst/>
                          </a:prstGeom>
                          <a:solidFill>
                            <a:schemeClr val="bg1"/>
                          </a:solidFill>
                          <a:ln w="38100">
                            <a:solidFill>
                              <a:schemeClr val="tx1"/>
                            </a:solidFill>
                          </a:ln>
                          <a:effectLst>
                            <a:outerShdw blurRad="50800" dist="38100" dir="2700000" algn="tl" rotWithShape="0">
                              <a:prstClr val="black">
                                <a:alpha val="40000"/>
                              </a:prstClr>
                            </a:outerShdw>
                          </a:effectLst>
                        </wps:spPr>
                        <wps:txbx>
                          <w:txbxContent>
                            <w:p w14:paraId="40240632" w14:textId="70A8CA3C" w:rsidR="00B266CE" w:rsidRPr="00940218" w:rsidRDefault="00B266CE" w:rsidP="009F13E7">
                              <w:pPr>
                                <w:jc w:val="center"/>
                                <w:rPr>
                                  <w:rFonts w:ascii="GibsonLight" w:hAnsi="GibsonLight"/>
                                  <w:b/>
                                  <w:color w:val="002060"/>
                                  <w:sz w:val="32"/>
                                  <w:szCs w:val="22"/>
                                </w:rPr>
                              </w:pPr>
                              <w:r w:rsidRPr="00940218">
                                <w:rPr>
                                  <w:rFonts w:ascii="GibsonLight" w:hAnsi="GibsonLight"/>
                                  <w:b/>
                                  <w:color w:val="002060"/>
                                  <w:sz w:val="32"/>
                                  <w:szCs w:val="22"/>
                                </w:rPr>
                                <w:t>CEA Article</w:t>
                              </w:r>
                            </w:p>
                          </w:txbxContent>
                        </wps:txbx>
                        <wps:bodyPr rot="0" vert="horz" wrap="square" lIns="91440" tIns="45720" rIns="91440" bIns="45720" anchor="ctr" anchorCtr="0" upright="1">
                          <a:noAutofit/>
                        </wps:bodyPr>
                      </wps:wsp>
                      <wps:wsp>
                        <wps:cNvPr id="25" name="AutoShape 34"/>
                        <wps:cNvCnPr>
                          <a:cxnSpLocks noChangeShapeType="1"/>
                        </wps:cNvCnPr>
                        <wps:spPr bwMode="auto">
                          <a:xfrm rot="5400000">
                            <a:off x="1832776" y="496956"/>
                            <a:ext cx="457189" cy="1771634"/>
                          </a:xfrm>
                          <a:prstGeom prst="curvedConnector3">
                            <a:avLst>
                              <a:gd name="adj1" fmla="val 50000"/>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g:grpSp>
                        <wpg:cNvPr id="27" name="Group 27"/>
                        <wpg:cNvGrpSpPr/>
                        <wpg:grpSpPr>
                          <a:xfrm>
                            <a:off x="0" y="1637969"/>
                            <a:ext cx="2371725" cy="1828800"/>
                            <a:chOff x="336433" y="0"/>
                            <a:chExt cx="2372285" cy="1466850"/>
                          </a:xfrm>
                        </wpg:grpSpPr>
                        <wps:wsp>
                          <wps:cNvPr id="28" name="AutoShape 6"/>
                          <wps:cNvSpPr>
                            <a:spLocks noChangeArrowheads="1"/>
                          </wps:cNvSpPr>
                          <wps:spPr bwMode="auto">
                            <a:xfrm>
                              <a:off x="336433" y="0"/>
                              <a:ext cx="2372285" cy="1466850"/>
                            </a:xfrm>
                            <a:prstGeom prst="roundRect">
                              <a:avLst/>
                            </a:prstGeom>
                            <a:solidFill>
                              <a:schemeClr val="accent1">
                                <a:lumMod val="60000"/>
                                <a:lumOff val="40000"/>
                                <a:alpha val="61000"/>
                              </a:schemeClr>
                            </a:solidFill>
                            <a:ln w="38100">
                              <a:solidFill>
                                <a:srgbClr val="002060"/>
                              </a:solidFill>
                            </a:ln>
                          </wps:spPr>
                          <wps:txbx>
                            <w:txbxContent>
                              <w:p w14:paraId="410E9464" w14:textId="77777777" w:rsidR="00B266CE" w:rsidRPr="00940218" w:rsidRDefault="00B266CE" w:rsidP="009F13E7">
                                <w:pPr>
                                  <w:rPr>
                                    <w:rFonts w:ascii="GibsonLight" w:hAnsi="GibsonLight"/>
                                    <w:color w:val="002060"/>
                                    <w:sz w:val="22"/>
                                    <w:szCs w:val="22"/>
                                  </w:rPr>
                                </w:pPr>
                              </w:p>
                              <w:p w14:paraId="675F8D34" w14:textId="77777777" w:rsidR="00B266CE" w:rsidRPr="00940218" w:rsidRDefault="00B266CE" w:rsidP="009F13E7">
                                <w:pPr>
                                  <w:rPr>
                                    <w:rFonts w:ascii="GibsonLight" w:hAnsi="GibsonLight"/>
                                    <w:color w:val="002060"/>
                                    <w:sz w:val="22"/>
                                    <w:szCs w:val="22"/>
                                  </w:rPr>
                                </w:pPr>
                              </w:p>
                              <w:p w14:paraId="57B8EBAA" w14:textId="77777777" w:rsidR="00B266CE" w:rsidRPr="00940218" w:rsidRDefault="00B266CE" w:rsidP="009F13E7">
                                <w:pPr>
                                  <w:rPr>
                                    <w:rFonts w:ascii="GibsonLight" w:hAnsi="GibsonLight"/>
                                    <w:color w:val="002060"/>
                                    <w:sz w:val="22"/>
                                    <w:szCs w:val="22"/>
                                  </w:rPr>
                                </w:pPr>
                              </w:p>
                              <w:p w14:paraId="6C35C88C" w14:textId="77777777" w:rsidR="00B266CE" w:rsidRPr="00940218" w:rsidRDefault="00B266CE" w:rsidP="009F13E7">
                                <w:pPr>
                                  <w:jc w:val="center"/>
                                  <w:rPr>
                                    <w:rFonts w:ascii="GibsonLight" w:hAnsi="GibsonLight"/>
                                    <w:color w:val="002060"/>
                                    <w:sz w:val="22"/>
                                    <w:szCs w:val="22"/>
                                  </w:rPr>
                                </w:pPr>
                              </w:p>
                              <w:p w14:paraId="665BA35C" w14:textId="77777777" w:rsidR="00B266CE" w:rsidRPr="00940218" w:rsidRDefault="00B266CE" w:rsidP="009F13E7">
                                <w:pPr>
                                  <w:jc w:val="center"/>
                                  <w:rPr>
                                    <w:rFonts w:ascii="GibsonLight" w:hAnsi="GibsonLight"/>
                                    <w:b/>
                                    <w:color w:val="002060"/>
                                    <w:sz w:val="22"/>
                                    <w:szCs w:val="22"/>
                                  </w:rPr>
                                </w:pPr>
                              </w:p>
                              <w:p w14:paraId="6496EE0A" w14:textId="77777777" w:rsidR="00B266CE" w:rsidRPr="00940218" w:rsidRDefault="00B266CE" w:rsidP="009F13E7">
                                <w:pPr>
                                  <w:jc w:val="center"/>
                                  <w:rPr>
                                    <w:rFonts w:ascii="GibsonLight" w:hAnsi="GibsonLight"/>
                                    <w:b/>
                                    <w:color w:val="002060"/>
                                    <w:sz w:val="22"/>
                                    <w:szCs w:val="22"/>
                                  </w:rPr>
                                </w:pPr>
                              </w:p>
                              <w:p w14:paraId="74F07C4F" w14:textId="77777777" w:rsidR="00B266CE" w:rsidRPr="00940218" w:rsidRDefault="00B266CE" w:rsidP="009F13E7">
                                <w:pPr>
                                  <w:jc w:val="center"/>
                                  <w:rPr>
                                    <w:rFonts w:ascii="GibsonLight" w:hAnsi="GibsonLight"/>
                                    <w:b/>
                                    <w:color w:val="002060"/>
                                    <w:sz w:val="28"/>
                                    <w:szCs w:val="22"/>
                                  </w:rPr>
                                </w:pPr>
                              </w:p>
                              <w:p w14:paraId="0D36EBE0" w14:textId="77777777" w:rsidR="00B266CE" w:rsidRPr="00940218" w:rsidRDefault="00B266CE" w:rsidP="009F13E7">
                                <w:pPr>
                                  <w:jc w:val="center"/>
                                  <w:rPr>
                                    <w:rFonts w:ascii="GibsonLight" w:hAnsi="GibsonLight"/>
                                    <w:b/>
                                    <w:color w:val="002060"/>
                                    <w:sz w:val="28"/>
                                    <w:szCs w:val="22"/>
                                  </w:rPr>
                                </w:pPr>
                                <w:r w:rsidRPr="00940218">
                                  <w:rPr>
                                    <w:rFonts w:ascii="GibsonLight" w:hAnsi="GibsonLight"/>
                                    <w:b/>
                                    <w:color w:val="002060"/>
                                    <w:sz w:val="28"/>
                                    <w:szCs w:val="22"/>
                                  </w:rPr>
                                  <w:t>Ratio Section(s)</w:t>
                                </w:r>
                              </w:p>
                            </w:txbxContent>
                          </wps:txbx>
                          <wps:bodyPr rot="0" vert="horz" wrap="square" lIns="91440" tIns="45720" rIns="91440" bIns="45720" anchor="ctr" anchorCtr="0" upright="1">
                            <a:noAutofit/>
                          </wps:bodyPr>
                        </wps:wsp>
                        <wps:wsp>
                          <wps:cNvPr id="29" name="AutoShape 6"/>
                          <wps:cNvSpPr>
                            <a:spLocks noChangeArrowheads="1"/>
                          </wps:cNvSpPr>
                          <wps:spPr bwMode="auto">
                            <a:xfrm>
                              <a:off x="733646" y="127590"/>
                              <a:ext cx="1094740" cy="318770"/>
                            </a:xfrm>
                            <a:prstGeom prst="roundRect">
                              <a:avLst/>
                            </a:prstGeom>
                            <a:solidFill>
                              <a:schemeClr val="bg1"/>
                            </a:solidFill>
                            <a:ln w="38100">
                              <a:solidFill>
                                <a:schemeClr val="tx1"/>
                              </a:solidFill>
                            </a:ln>
                            <a:effectLst>
                              <a:outerShdw blurRad="50800" dist="38100" dir="2700000" algn="tl" rotWithShape="0">
                                <a:prstClr val="black">
                                  <a:alpha val="40000"/>
                                </a:prstClr>
                              </a:outerShdw>
                            </a:effectLst>
                          </wps:spPr>
                          <wps:txbx>
                            <w:txbxContent>
                              <w:p w14:paraId="0F03959E"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Ratio #1</w:t>
                                </w:r>
                              </w:p>
                            </w:txbxContent>
                          </wps:txbx>
                          <wps:bodyPr rot="0" vert="horz" wrap="square" lIns="91440" tIns="45720" rIns="91440" bIns="45720" anchor="ctr" anchorCtr="0" upright="1">
                            <a:noAutofit/>
                          </wps:bodyPr>
                        </wps:wsp>
                        <wps:wsp>
                          <wps:cNvPr id="30" name="AutoShape 6"/>
                          <wps:cNvSpPr>
                            <a:spLocks noChangeArrowheads="1"/>
                          </wps:cNvSpPr>
                          <wps:spPr bwMode="auto">
                            <a:xfrm>
                              <a:off x="946298" y="414669"/>
                              <a:ext cx="1094740" cy="318770"/>
                            </a:xfrm>
                            <a:prstGeom prst="roundRect">
                              <a:avLst/>
                            </a:prstGeom>
                            <a:solidFill>
                              <a:schemeClr val="bg1"/>
                            </a:solidFill>
                            <a:ln w="38100">
                              <a:solidFill>
                                <a:schemeClr val="tx1"/>
                              </a:solidFill>
                            </a:ln>
                            <a:effectLst>
                              <a:outerShdw blurRad="50800" dist="38100" dir="2700000" algn="tl" rotWithShape="0">
                                <a:prstClr val="black">
                                  <a:alpha val="40000"/>
                                </a:prstClr>
                              </a:outerShdw>
                            </a:effectLst>
                          </wps:spPr>
                          <wps:txbx>
                            <w:txbxContent>
                              <w:p w14:paraId="178F8C71"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Ratio #2</w:t>
                                </w:r>
                              </w:p>
                            </w:txbxContent>
                          </wps:txbx>
                          <wps:bodyPr rot="0" vert="horz" wrap="square" lIns="91440" tIns="45720" rIns="91440" bIns="45720" anchor="ctr" anchorCtr="0" upright="1">
                            <a:noAutofit/>
                          </wps:bodyPr>
                        </wps:wsp>
                        <wps:wsp>
                          <wps:cNvPr id="31" name="AutoShape 6"/>
                          <wps:cNvSpPr>
                            <a:spLocks noChangeArrowheads="1"/>
                          </wps:cNvSpPr>
                          <wps:spPr bwMode="auto">
                            <a:xfrm>
                              <a:off x="1169581" y="712381"/>
                              <a:ext cx="1094740" cy="318770"/>
                            </a:xfrm>
                            <a:prstGeom prst="roundRect">
                              <a:avLst/>
                            </a:prstGeom>
                            <a:solidFill>
                              <a:schemeClr val="bg1"/>
                            </a:solidFill>
                            <a:ln w="38100">
                              <a:solidFill>
                                <a:schemeClr val="tx1"/>
                              </a:solidFill>
                            </a:ln>
                            <a:effectLst>
                              <a:outerShdw blurRad="50800" dist="38100" dir="2700000" algn="tl" rotWithShape="0">
                                <a:prstClr val="black">
                                  <a:alpha val="40000"/>
                                </a:prstClr>
                              </a:outerShdw>
                            </a:effectLst>
                          </wps:spPr>
                          <wps:txbx>
                            <w:txbxContent>
                              <w:p w14:paraId="790B8DCF"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Ratio #N</w:t>
                                </w:r>
                              </w:p>
                            </w:txbxContent>
                          </wps:txbx>
                          <wps:bodyPr rot="0" vert="horz" wrap="square" lIns="91440" tIns="45720" rIns="91440" bIns="45720" anchor="ctr" anchorCtr="0" upright="1">
                            <a:noAutofit/>
                          </wps:bodyPr>
                        </wps:wsp>
                        <wps:wsp>
                          <wps:cNvPr id="288" name="Text Box 288"/>
                          <wps:cNvSpPr txBox="1"/>
                          <wps:spPr>
                            <a:xfrm>
                              <a:off x="850605" y="765544"/>
                              <a:ext cx="61087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C3855" w14:textId="77777777" w:rsidR="00B266CE" w:rsidRPr="00940218" w:rsidRDefault="00B266CE" w:rsidP="009F13E7">
                                <w:pPr>
                                  <w:rPr>
                                    <w:rFonts w:ascii="GibsonLight" w:hAnsi="GibsonLight"/>
                                    <w:b/>
                                    <w:color w:val="002060"/>
                                    <w:sz w:val="28"/>
                                  </w:rPr>
                                </w:pPr>
                                <w:r w:rsidRPr="00940218">
                                  <w:rPr>
                                    <w:rFonts w:ascii="GibsonLight" w:hAnsi="GibsonLight"/>
                                    <w:b/>
                                    <w:color w:val="00206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6" name="Group 196"/>
                        <wpg:cNvGrpSpPr/>
                        <wpg:grpSpPr>
                          <a:xfrm>
                            <a:off x="3514477" y="1630018"/>
                            <a:ext cx="2381250" cy="1828800"/>
                            <a:chOff x="0" y="0"/>
                            <a:chExt cx="2381250" cy="1828800"/>
                          </a:xfrm>
                        </wpg:grpSpPr>
                        <wpg:grpSp>
                          <wpg:cNvPr id="289" name="Group 289"/>
                          <wpg:cNvGrpSpPr/>
                          <wpg:grpSpPr>
                            <a:xfrm>
                              <a:off x="0" y="0"/>
                              <a:ext cx="2381250" cy="1828800"/>
                              <a:chOff x="376828" y="-1"/>
                              <a:chExt cx="2381273" cy="1709655"/>
                            </a:xfrm>
                          </wpg:grpSpPr>
                          <wps:wsp>
                            <wps:cNvPr id="290" name="AutoShape 6"/>
                            <wps:cNvSpPr>
                              <a:spLocks noChangeArrowheads="1"/>
                            </wps:cNvSpPr>
                            <wps:spPr bwMode="auto">
                              <a:xfrm>
                                <a:off x="376828" y="-1"/>
                                <a:ext cx="2381273" cy="1709655"/>
                              </a:xfrm>
                              <a:prstGeom prst="roundRect">
                                <a:avLst/>
                              </a:prstGeom>
                              <a:solidFill>
                                <a:schemeClr val="accent1">
                                  <a:lumMod val="60000"/>
                                  <a:lumOff val="40000"/>
                                  <a:alpha val="61000"/>
                                </a:schemeClr>
                              </a:solidFill>
                              <a:ln w="38100">
                                <a:solidFill>
                                  <a:srgbClr val="002060"/>
                                </a:solidFill>
                              </a:ln>
                            </wps:spPr>
                            <wps:txbx>
                              <w:txbxContent>
                                <w:p w14:paraId="4619F191" w14:textId="77777777" w:rsidR="00B266CE" w:rsidRPr="00940218" w:rsidRDefault="00B266CE" w:rsidP="00B87893">
                                  <w:pPr>
                                    <w:rPr>
                                      <w:rFonts w:ascii="GibsonLight" w:hAnsi="GibsonLight"/>
                                      <w:color w:val="002060"/>
                                      <w:sz w:val="22"/>
                                      <w:szCs w:val="22"/>
                                    </w:rPr>
                                  </w:pPr>
                                </w:p>
                                <w:p w14:paraId="6C551599" w14:textId="77777777" w:rsidR="00B266CE" w:rsidRPr="00940218" w:rsidRDefault="00B266CE" w:rsidP="009F13E7">
                                  <w:pPr>
                                    <w:rPr>
                                      <w:rFonts w:ascii="GibsonLight" w:hAnsi="GibsonLight"/>
                                      <w:color w:val="002060"/>
                                      <w:sz w:val="22"/>
                                      <w:szCs w:val="22"/>
                                    </w:rPr>
                                  </w:pPr>
                                </w:p>
                                <w:p w14:paraId="172A8B31" w14:textId="77777777" w:rsidR="00B266CE" w:rsidRPr="00940218" w:rsidRDefault="00B266CE" w:rsidP="009F13E7">
                                  <w:pPr>
                                    <w:rPr>
                                      <w:rFonts w:ascii="GibsonLight" w:hAnsi="GibsonLight"/>
                                      <w:color w:val="002060"/>
                                      <w:sz w:val="22"/>
                                      <w:szCs w:val="22"/>
                                    </w:rPr>
                                  </w:pPr>
                                </w:p>
                                <w:p w14:paraId="562A8CF9" w14:textId="77777777" w:rsidR="00B266CE" w:rsidRPr="00940218" w:rsidRDefault="00B266CE" w:rsidP="009F13E7">
                                  <w:pPr>
                                    <w:jc w:val="center"/>
                                    <w:rPr>
                                      <w:rFonts w:ascii="GibsonLight" w:hAnsi="GibsonLight"/>
                                      <w:b/>
                                      <w:color w:val="002060"/>
                                      <w:sz w:val="22"/>
                                      <w:szCs w:val="22"/>
                                    </w:rPr>
                                  </w:pPr>
                                </w:p>
                                <w:p w14:paraId="396F12CF" w14:textId="77777777" w:rsidR="00B266CE" w:rsidRPr="00940218" w:rsidRDefault="00B266CE" w:rsidP="009F13E7">
                                  <w:pPr>
                                    <w:jc w:val="center"/>
                                    <w:rPr>
                                      <w:rFonts w:ascii="GibsonLight" w:hAnsi="GibsonLight"/>
                                      <w:b/>
                                      <w:color w:val="002060"/>
                                      <w:sz w:val="22"/>
                                      <w:szCs w:val="22"/>
                                    </w:rPr>
                                  </w:pPr>
                                </w:p>
                                <w:p w14:paraId="78FC17FF" w14:textId="77777777" w:rsidR="00B266CE" w:rsidRPr="00940218" w:rsidRDefault="00B266CE" w:rsidP="009F13E7">
                                  <w:pPr>
                                    <w:jc w:val="center"/>
                                    <w:rPr>
                                      <w:rFonts w:ascii="GibsonLight" w:hAnsi="GibsonLight"/>
                                      <w:b/>
                                      <w:color w:val="002060"/>
                                      <w:sz w:val="8"/>
                                      <w:szCs w:val="8"/>
                                    </w:rPr>
                                  </w:pPr>
                                </w:p>
                                <w:p w14:paraId="7A319C1A" w14:textId="77777777" w:rsidR="00B266CE" w:rsidRPr="00940218" w:rsidRDefault="00B266CE" w:rsidP="009F13E7">
                                  <w:pPr>
                                    <w:jc w:val="center"/>
                                    <w:rPr>
                                      <w:rFonts w:ascii="GibsonLight" w:hAnsi="GibsonLight"/>
                                      <w:b/>
                                      <w:color w:val="002060"/>
                                      <w:sz w:val="8"/>
                                      <w:szCs w:val="8"/>
                                    </w:rPr>
                                  </w:pPr>
                                </w:p>
                                <w:p w14:paraId="5C3E850F" w14:textId="77777777" w:rsidR="00B266CE" w:rsidRPr="00940218" w:rsidRDefault="00B266CE" w:rsidP="009F13E7">
                                  <w:pPr>
                                    <w:jc w:val="center"/>
                                    <w:rPr>
                                      <w:rFonts w:ascii="GibsonLight" w:hAnsi="GibsonLight"/>
                                      <w:b/>
                                      <w:color w:val="002060"/>
                                      <w:sz w:val="8"/>
                                      <w:szCs w:val="8"/>
                                    </w:rPr>
                                  </w:pPr>
                                </w:p>
                                <w:p w14:paraId="658374C7" w14:textId="77777777" w:rsidR="00B266CE" w:rsidRPr="00940218" w:rsidRDefault="00B266CE" w:rsidP="009F13E7">
                                  <w:pPr>
                                    <w:jc w:val="center"/>
                                    <w:rPr>
                                      <w:rFonts w:ascii="GibsonLight" w:hAnsi="GibsonLight"/>
                                      <w:b/>
                                      <w:color w:val="002060"/>
                                      <w:sz w:val="8"/>
                                      <w:szCs w:val="8"/>
                                    </w:rPr>
                                  </w:pPr>
                                </w:p>
                                <w:p w14:paraId="0449AE4A" w14:textId="5012A046" w:rsidR="00B266CE" w:rsidRPr="00940218" w:rsidRDefault="00B266CE" w:rsidP="009F13E7">
                                  <w:pPr>
                                    <w:jc w:val="center"/>
                                    <w:rPr>
                                      <w:rFonts w:ascii="GibsonLight" w:hAnsi="GibsonLight"/>
                                      <w:b/>
                                      <w:color w:val="002060"/>
                                      <w:sz w:val="28"/>
                                      <w:szCs w:val="22"/>
                                    </w:rPr>
                                  </w:pPr>
                                  <w:r w:rsidRPr="00940218">
                                    <w:rPr>
                                      <w:rFonts w:ascii="GibsonLight" w:hAnsi="GibsonLight"/>
                                      <w:b/>
                                      <w:color w:val="002060"/>
                                      <w:sz w:val="28"/>
                                      <w:szCs w:val="22"/>
                                    </w:rPr>
                                    <w:t>Weight Section(s)</w:t>
                                  </w:r>
                                </w:p>
                              </w:txbxContent>
                            </wps:txbx>
                            <wps:bodyPr rot="0" vert="horz" wrap="square" lIns="91440" tIns="45720" rIns="91440" bIns="45720" anchor="ctr" anchorCtr="0" upright="1">
                              <a:noAutofit/>
                            </wps:bodyPr>
                          </wps:wsp>
                          <wps:wsp>
                            <wps:cNvPr id="291" name="AutoShape 6"/>
                            <wps:cNvSpPr>
                              <a:spLocks noChangeArrowheads="1"/>
                            </wps:cNvSpPr>
                            <wps:spPr bwMode="auto">
                              <a:xfrm>
                                <a:off x="712380" y="127590"/>
                                <a:ext cx="1094740" cy="361302"/>
                              </a:xfrm>
                              <a:prstGeom prst="roundRect">
                                <a:avLst/>
                              </a:prstGeom>
                              <a:solidFill>
                                <a:schemeClr val="bg1"/>
                              </a:solidFill>
                              <a:ln w="38100">
                                <a:solidFill>
                                  <a:schemeClr val="tx1"/>
                                </a:solidFill>
                              </a:ln>
                              <a:effectLst>
                                <a:outerShdw blurRad="50800" dist="38100" dir="2700000" algn="tl" rotWithShape="0">
                                  <a:prstClr val="black">
                                    <a:alpha val="40000"/>
                                  </a:prstClr>
                                </a:outerShdw>
                              </a:effectLst>
                            </wps:spPr>
                            <wps:txbx>
                              <w:txbxContent>
                                <w:p w14:paraId="19B00CF3" w14:textId="132A52B4"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Weight #1</w:t>
                                  </w:r>
                                  <w:r w:rsidRPr="00940218">
                                    <w:rPr>
                                      <w:rFonts w:ascii="GibsonLight" w:hAnsi="GibsonLight"/>
                                      <w:b/>
                                      <w:noProof/>
                                      <w:color w:val="002060"/>
                                      <w:sz w:val="32"/>
                                    </w:rPr>
                                    <w:drawing>
                                      <wp:inline distT="0" distB="0" distL="0" distR="0" wp14:anchorId="7574E578" wp14:editId="40E82C44">
                                        <wp:extent cx="836295" cy="487839"/>
                                        <wp:effectExtent l="0" t="0" r="0" b="2667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940218">
                                    <w:rPr>
                                      <w:rFonts w:ascii="GibsonLight" w:hAnsi="GibsonLight"/>
                                      <w:b/>
                                      <w:color w:val="002060"/>
                                      <w:sz w:val="24"/>
                                      <w:szCs w:val="22"/>
                                    </w:rPr>
                                    <w:t>1</w:t>
                                  </w:r>
                                </w:p>
                              </w:txbxContent>
                            </wps:txbx>
                            <wps:bodyPr rot="0" vert="horz" wrap="square" lIns="91440" tIns="45720" rIns="91440" bIns="45720" anchor="ctr" anchorCtr="0" upright="1">
                              <a:noAutofit/>
                            </wps:bodyPr>
                          </wps:wsp>
                          <wps:wsp>
                            <wps:cNvPr id="293" name="Text Box 293"/>
                            <wps:cNvSpPr txBox="1"/>
                            <wps:spPr>
                              <a:xfrm>
                                <a:off x="1009632" y="854842"/>
                                <a:ext cx="61087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D855F" w14:textId="77777777" w:rsidR="00B266CE" w:rsidRPr="00940218" w:rsidRDefault="00B266CE" w:rsidP="009F13E7">
                                  <w:pPr>
                                    <w:rPr>
                                      <w:rFonts w:ascii="GibsonLight" w:hAnsi="GibsonLight"/>
                                      <w:b/>
                                      <w:color w:val="002060"/>
                                      <w:sz w:val="28"/>
                                    </w:rPr>
                                  </w:pPr>
                                  <w:r w:rsidRPr="00940218">
                                    <w:rPr>
                                      <w:rFonts w:ascii="GibsonLight" w:hAnsi="GibsonLight"/>
                                      <w:b/>
                                      <w:color w:val="00206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1" name="AutoShape 6"/>
                          <wps:cNvSpPr>
                            <a:spLocks noChangeArrowheads="1"/>
                          </wps:cNvSpPr>
                          <wps:spPr bwMode="auto">
                            <a:xfrm>
                              <a:off x="636104" y="477078"/>
                              <a:ext cx="1094730" cy="360671"/>
                            </a:xfrm>
                            <a:prstGeom prst="roundRect">
                              <a:avLst/>
                            </a:prstGeom>
                            <a:solidFill>
                              <a:schemeClr val="bg1"/>
                            </a:solidFill>
                            <a:ln w="38100">
                              <a:solidFill>
                                <a:schemeClr val="tx1"/>
                              </a:solidFill>
                            </a:ln>
                            <a:effectLst>
                              <a:outerShdw blurRad="50800" dist="38100" dir="2700000" algn="tl" rotWithShape="0">
                                <a:prstClr val="black">
                                  <a:alpha val="40000"/>
                                </a:prstClr>
                              </a:outerShdw>
                            </a:effectLst>
                          </wps:spPr>
                          <wps:txbx>
                            <w:txbxContent>
                              <w:p w14:paraId="60223EBD"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Weight #2</w:t>
                                </w:r>
                              </w:p>
                            </w:txbxContent>
                          </wps:txbx>
                          <wps:bodyPr rot="0" vert="horz" wrap="square" lIns="91440" tIns="45720" rIns="91440" bIns="45720" anchor="ctr" anchorCtr="0" upright="1">
                            <a:noAutofit/>
                          </wps:bodyPr>
                        </wps:wsp>
                        <wps:wsp>
                          <wps:cNvPr id="302" name="AutoShape 6"/>
                          <wps:cNvSpPr>
                            <a:spLocks noChangeArrowheads="1"/>
                          </wps:cNvSpPr>
                          <wps:spPr bwMode="auto">
                            <a:xfrm>
                              <a:off x="977715" y="834671"/>
                              <a:ext cx="1094730" cy="342678"/>
                            </a:xfrm>
                            <a:prstGeom prst="roundRect">
                              <a:avLst/>
                            </a:prstGeom>
                            <a:solidFill>
                              <a:schemeClr val="bg1"/>
                            </a:solidFill>
                            <a:ln w="38100">
                              <a:solidFill>
                                <a:schemeClr val="tx1"/>
                              </a:solidFill>
                            </a:ln>
                            <a:effectLst>
                              <a:outerShdw blurRad="50800" dist="38100" dir="2700000" algn="tl" rotWithShape="0">
                                <a:prstClr val="black">
                                  <a:alpha val="40000"/>
                                </a:prstClr>
                              </a:outerShdw>
                            </a:effectLst>
                          </wps:spPr>
                          <wps:txbx>
                            <w:txbxContent>
                              <w:p w14:paraId="1CCDBF77"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Weight #N</w:t>
                                </w:r>
                              </w:p>
                            </w:txbxContent>
                          </wps:txbx>
                          <wps:bodyPr rot="0" vert="horz" wrap="square" lIns="91440" tIns="45720" rIns="91440" bIns="45720" anchor="ctr" anchorCtr="0" upright="1">
                            <a:noAutofit/>
                          </wps:bodyPr>
                        </wps:wsp>
                      </wpg:grpSp>
                    </wpg:wgp>
                  </a:graphicData>
                </a:graphic>
              </wp:anchor>
            </w:drawing>
          </mc:Choice>
          <mc:Fallback>
            <w:pict>
              <v:group w14:anchorId="66FFC21C" id="Group 198" o:spid="_x0000_s1027" style="position:absolute;margin-left:17.3pt;margin-top:13.7pt;width:464.25pt;height:272.95pt;z-index:251653120" coordsize="58957,3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">
                <v:roundrect id="AutoShape 6" o:spid="_x0000_s1028" style="position:absolute;left:14169;width:30613;height:112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7C8MA&#10;AADbAAAADwAAAGRycy9kb3ducmV2LnhtbESP3YrCMBSE7xd8h3AEbxZNV2GRahQRVqrIgj/g7aE5&#10;tsHmpDTR1rc3wsJeDjPzDTNfdrYSD2q8cazga5SAIM6dNlwoOJ9+hlMQPiBrrByTgid5WC56H3NM&#10;tWv5QI9jKESEsE9RQRlCnUrp85Is+pGriaN3dY3FEGVTSN1gG+G2kuMk+ZYWDceFEmtal5Tfjner&#10;wGb5JrO/p/PdbD5Ne9nvtl2BSg363WoGIlAX/sN/7UwrGE/g/S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k7C8MAAADbAAAADwAAAAAAAAAAAAAAAACYAgAAZHJzL2Rv&#10;d25yZXYueG1sUEsFBgAAAAAEAAQA9QAAAIgDAAAAAA==&#10;" fillcolor="#95b3d7 [1940]" strokecolor="#002060" strokeweight="3pt">
                  <v:textbox>
                    <w:txbxContent>
                      <w:p w14:paraId="4B20A601" w14:textId="77777777" w:rsidR="00B266CE" w:rsidRPr="00940218" w:rsidRDefault="00B266CE" w:rsidP="009F13E7">
                        <w:pPr>
                          <w:rPr>
                            <w:rFonts w:ascii="GibsonLight" w:hAnsi="GibsonLight"/>
                            <w:color w:val="002060"/>
                            <w:sz w:val="22"/>
                            <w:szCs w:val="22"/>
                          </w:rPr>
                        </w:pPr>
                      </w:p>
                      <w:p w14:paraId="3E8D3F97" w14:textId="77777777" w:rsidR="00B266CE" w:rsidRPr="00940218" w:rsidRDefault="00B266CE" w:rsidP="009F13E7">
                        <w:pPr>
                          <w:rPr>
                            <w:rFonts w:ascii="GibsonLight" w:hAnsi="GibsonLight"/>
                            <w:color w:val="002060"/>
                            <w:sz w:val="22"/>
                            <w:szCs w:val="22"/>
                          </w:rPr>
                        </w:pPr>
                      </w:p>
                      <w:p w14:paraId="4BCD6BC8" w14:textId="77777777" w:rsidR="00B266CE" w:rsidRPr="00940218" w:rsidRDefault="00B266CE" w:rsidP="009F13E7">
                        <w:pPr>
                          <w:jc w:val="center"/>
                          <w:rPr>
                            <w:rFonts w:ascii="GibsonLight" w:hAnsi="GibsonLight"/>
                            <w:color w:val="002060"/>
                            <w:sz w:val="22"/>
                            <w:szCs w:val="22"/>
                          </w:rPr>
                        </w:pPr>
                      </w:p>
                      <w:p w14:paraId="55C34B13" w14:textId="77777777" w:rsidR="00B266CE" w:rsidRPr="00940218" w:rsidRDefault="00B266CE" w:rsidP="009F13E7">
                        <w:pPr>
                          <w:jc w:val="center"/>
                          <w:rPr>
                            <w:rFonts w:ascii="GibsonLight" w:hAnsi="GibsonLight"/>
                            <w:b/>
                            <w:color w:val="002060"/>
                            <w:sz w:val="28"/>
                            <w:szCs w:val="22"/>
                          </w:rPr>
                        </w:pPr>
                        <w:r w:rsidRPr="00940218">
                          <w:rPr>
                            <w:rFonts w:ascii="GibsonLight" w:hAnsi="GibsonLight"/>
                            <w:b/>
                            <w:color w:val="002060"/>
                            <w:sz w:val="28"/>
                            <w:szCs w:val="22"/>
                          </w:rPr>
                          <w:t>Methods Section</w:t>
                        </w:r>
                      </w:p>
                    </w:txbxContent>
                  </v:textbox>
                </v:roundrect>
                <v:roundrect id="AutoShape 6" o:spid="_x0000_s1029" style="position:absolute;left:20355;top:1828;width:18288;height:41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r7MMA&#10;AADbAAAADwAAAGRycy9kb3ducmV2LnhtbESPS2vDMBCE74X+B7GF3Bo5D0pwLIdQmpBDoc3rvkgb&#10;2Ym1MpaSuP++KhRyHGbmG6ZY9K4RN+pC7VnBaJiBINbe1GwVHPar1xmIEJENNp5JwQ8FWJTPTwXm&#10;xt95S7ddtCJBOOSooIqxzaUMuiKHYehb4uSdfOcwJtlZaTq8J7hr5DjL3qTDmtNChS29V6Qvu6tT&#10;MDme49E2Hxmuv/TU0vfnJcy0UoOXfjkHEamPj/B/e2MUjKfw9yX9A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lr7MMAAADbAAAADwAAAAAAAAAAAAAAAACYAgAAZHJzL2Rv&#10;d25yZXYueG1sUEsFBgAAAAAEAAQA9QAAAIgDAAAAAA==&#10;" fillcolor="white [3212]" strokecolor="black [3213]" strokeweight="3pt">
                  <v:shadow on="t" color="black" opacity="26214f" origin="-.5,-.5" offset=".74836mm,.74836mm"/>
                  <v:textbox>
                    <w:txbxContent>
                      <w:p w14:paraId="40240632" w14:textId="70A8CA3C" w:rsidR="00B266CE" w:rsidRPr="00940218" w:rsidRDefault="00B266CE" w:rsidP="009F13E7">
                        <w:pPr>
                          <w:jc w:val="center"/>
                          <w:rPr>
                            <w:rFonts w:ascii="GibsonLight" w:hAnsi="GibsonLight"/>
                            <w:b/>
                            <w:color w:val="002060"/>
                            <w:sz w:val="32"/>
                            <w:szCs w:val="22"/>
                          </w:rPr>
                        </w:pPr>
                        <w:r w:rsidRPr="00940218">
                          <w:rPr>
                            <w:rFonts w:ascii="GibsonLight" w:hAnsi="GibsonLight"/>
                            <w:b/>
                            <w:color w:val="002060"/>
                            <w:sz w:val="32"/>
                            <w:szCs w:val="22"/>
                          </w:rPr>
                          <w:t>CEA Article</w:t>
                        </w:r>
                      </w:p>
                    </w:txbxContent>
                  </v:textbox>
                </v:round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4" o:spid="_x0000_s1030" type="#_x0000_t38" style="position:absolute;left:18327;top:4969;width:4572;height:17716;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UTd8IAAADbAAAADwAAAGRycy9kb3ducmV2LnhtbESP3YrCMBSE74V9h3AWvNNUcUW6RlkE&#10;UVlY8OcBDs2xDTYnNYm2vr0RhL0cZuYbZr7sbC3u5INxrGA0zEAQF04bLhWcjuvBDESIyBprx6Tg&#10;QQGWi4/eHHPtWt7T/RBLkSAcclRQxdjkUoaiIoth6Bri5J2dtxiT9KXUHtsEt7UcZ9lUWjScFips&#10;aFVRcTncrALjLn+m3W0m2B7jenUd+V1x/lWq/9n9fIOI1MX/8Lu91QrGX/D6kn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UTd8IAAADbAAAADwAAAAAAAAAAAAAA&#10;AAChAgAAZHJzL2Rvd25yZXYueG1sUEsFBgAAAAAEAAQA+QAAAJADAAAAAA==&#10;" adj="10800" strokecolor="#002060">
                  <v:stroke endarrow="block"/>
                </v:shape>
                <v:group id="Group 27" o:spid="_x0000_s1031" style="position:absolute;top:16379;width:23717;height:18288" coordorigin="3364" coordsize="23722,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AutoShape 6" o:spid="_x0000_s1032" style="position:absolute;left:3364;width:23723;height:14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kk37sA&#10;AADbAAAADwAAAGRycy9kb3ducmV2LnhtbERPuwrCMBTdBf8hXMHNpjqIVqNIQXBx8LVfm2tTbG5q&#10;E7X+vRkEx8N5L9edrcWLWl85VjBOUhDEhdMVlwrOp+1oBsIHZI21Y1LwIQ/rVb+3xEy7Nx/odQyl&#10;iCHsM1RgQmgyKX1hyKJPXEMcuZtrLYYI21LqFt8x3NZykqZTabHi2GCwodxQcT8+rYLLA02w+W56&#10;nbsNyvze7W8Po9Rw0G0WIAJ14S/+uXdawSSOjV/iD5Cr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OJJN+7AAAA2wAAAA8AAAAAAAAAAAAAAAAAmAIAAGRycy9kb3ducmV2Lnht&#10;bFBLBQYAAAAABAAEAPUAAACAAwAAAAA=&#10;" fillcolor="#95b3d7 [1940]" strokecolor="#002060" strokeweight="3pt">
                    <v:fill opacity="40092f"/>
                    <v:textbox>
                      <w:txbxContent>
                        <w:p w14:paraId="410E9464" w14:textId="77777777" w:rsidR="00B266CE" w:rsidRPr="00940218" w:rsidRDefault="00B266CE" w:rsidP="009F13E7">
                          <w:pPr>
                            <w:rPr>
                              <w:rFonts w:ascii="GibsonLight" w:hAnsi="GibsonLight"/>
                              <w:color w:val="002060"/>
                              <w:sz w:val="22"/>
                              <w:szCs w:val="22"/>
                            </w:rPr>
                          </w:pPr>
                        </w:p>
                        <w:p w14:paraId="675F8D34" w14:textId="77777777" w:rsidR="00B266CE" w:rsidRPr="00940218" w:rsidRDefault="00B266CE" w:rsidP="009F13E7">
                          <w:pPr>
                            <w:rPr>
                              <w:rFonts w:ascii="GibsonLight" w:hAnsi="GibsonLight"/>
                              <w:color w:val="002060"/>
                              <w:sz w:val="22"/>
                              <w:szCs w:val="22"/>
                            </w:rPr>
                          </w:pPr>
                        </w:p>
                        <w:p w14:paraId="57B8EBAA" w14:textId="77777777" w:rsidR="00B266CE" w:rsidRPr="00940218" w:rsidRDefault="00B266CE" w:rsidP="009F13E7">
                          <w:pPr>
                            <w:rPr>
                              <w:rFonts w:ascii="GibsonLight" w:hAnsi="GibsonLight"/>
                              <w:color w:val="002060"/>
                              <w:sz w:val="22"/>
                              <w:szCs w:val="22"/>
                            </w:rPr>
                          </w:pPr>
                        </w:p>
                        <w:p w14:paraId="6C35C88C" w14:textId="77777777" w:rsidR="00B266CE" w:rsidRPr="00940218" w:rsidRDefault="00B266CE" w:rsidP="009F13E7">
                          <w:pPr>
                            <w:jc w:val="center"/>
                            <w:rPr>
                              <w:rFonts w:ascii="GibsonLight" w:hAnsi="GibsonLight"/>
                              <w:color w:val="002060"/>
                              <w:sz w:val="22"/>
                              <w:szCs w:val="22"/>
                            </w:rPr>
                          </w:pPr>
                        </w:p>
                        <w:p w14:paraId="665BA35C" w14:textId="77777777" w:rsidR="00B266CE" w:rsidRPr="00940218" w:rsidRDefault="00B266CE" w:rsidP="009F13E7">
                          <w:pPr>
                            <w:jc w:val="center"/>
                            <w:rPr>
                              <w:rFonts w:ascii="GibsonLight" w:hAnsi="GibsonLight"/>
                              <w:b/>
                              <w:color w:val="002060"/>
                              <w:sz w:val="22"/>
                              <w:szCs w:val="22"/>
                            </w:rPr>
                          </w:pPr>
                        </w:p>
                        <w:p w14:paraId="6496EE0A" w14:textId="77777777" w:rsidR="00B266CE" w:rsidRPr="00940218" w:rsidRDefault="00B266CE" w:rsidP="009F13E7">
                          <w:pPr>
                            <w:jc w:val="center"/>
                            <w:rPr>
                              <w:rFonts w:ascii="GibsonLight" w:hAnsi="GibsonLight"/>
                              <w:b/>
                              <w:color w:val="002060"/>
                              <w:sz w:val="22"/>
                              <w:szCs w:val="22"/>
                            </w:rPr>
                          </w:pPr>
                        </w:p>
                        <w:p w14:paraId="74F07C4F" w14:textId="77777777" w:rsidR="00B266CE" w:rsidRPr="00940218" w:rsidRDefault="00B266CE" w:rsidP="009F13E7">
                          <w:pPr>
                            <w:jc w:val="center"/>
                            <w:rPr>
                              <w:rFonts w:ascii="GibsonLight" w:hAnsi="GibsonLight"/>
                              <w:b/>
                              <w:color w:val="002060"/>
                              <w:sz w:val="28"/>
                              <w:szCs w:val="22"/>
                            </w:rPr>
                          </w:pPr>
                        </w:p>
                        <w:p w14:paraId="0D36EBE0" w14:textId="77777777" w:rsidR="00B266CE" w:rsidRPr="00940218" w:rsidRDefault="00B266CE" w:rsidP="009F13E7">
                          <w:pPr>
                            <w:jc w:val="center"/>
                            <w:rPr>
                              <w:rFonts w:ascii="GibsonLight" w:hAnsi="GibsonLight"/>
                              <w:b/>
                              <w:color w:val="002060"/>
                              <w:sz w:val="28"/>
                              <w:szCs w:val="22"/>
                            </w:rPr>
                          </w:pPr>
                          <w:r w:rsidRPr="00940218">
                            <w:rPr>
                              <w:rFonts w:ascii="GibsonLight" w:hAnsi="GibsonLight"/>
                              <w:b/>
                              <w:color w:val="002060"/>
                              <w:sz w:val="28"/>
                              <w:szCs w:val="22"/>
                            </w:rPr>
                            <w:t>Ratio Section(s)</w:t>
                          </w:r>
                        </w:p>
                      </w:txbxContent>
                    </v:textbox>
                  </v:roundrect>
                  <v:roundrect id="AutoShape 6" o:spid="_x0000_s1033" style="position:absolute;left:7336;top:1275;width:10947;height:31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EcsMA&#10;AADbAAAADwAAAGRycy9kb3ducmV2LnhtbESPQWsCMRSE70L/Q3iF3mq2VsSum5VSVDwUtLbeH8kz&#10;u3Xzsmyirv/eFAoeh5n5hinmvWvEmbpQe1bwMsxAEGtvarYKfr6Xz1MQISIbbDyTgisFmJcPgwJz&#10;4y/8ReddtCJBOOSooIqxzaUMuiKHYehb4uQdfOcwJtlZaTq8JLhr5CjLJtJhzWmhwpY+KtLH3ckp&#10;eN3/xr1tFhmuNnpsaft5DFOt1NNj/z4DEamP9/B/e20UjN7g70v6Ab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jEcsMAAADbAAAADwAAAAAAAAAAAAAAAACYAgAAZHJzL2Rv&#10;d25yZXYueG1sUEsFBgAAAAAEAAQA9QAAAIgDAAAAAA==&#10;" fillcolor="white [3212]" strokecolor="black [3213]" strokeweight="3pt">
                    <v:shadow on="t" color="black" opacity="26214f" origin="-.5,-.5" offset=".74836mm,.74836mm"/>
                    <v:textbox>
                      <w:txbxContent>
                        <w:p w14:paraId="0F03959E"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Ratio #1</w:t>
                          </w:r>
                        </w:p>
                      </w:txbxContent>
                    </v:textbox>
                  </v:roundrect>
                  <v:roundrect id="AutoShape 6" o:spid="_x0000_s1034" style="position:absolute;left:9462;top:4146;width:10948;height:31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v7Mr8A&#10;AADbAAAADwAAAGRycy9kb3ducmV2LnhtbERPTWsCMRC9F/wPYYTeata2FFmNImKlh4Kt1fuQjNnV&#10;zWTZRN3+e+dQ6PHxvmeLPjTqSl2qIxsYjwpQxDa6mr2B/c/70wRUysgOm8hk4JcSLOaDhxmWLt74&#10;m6677JWEcCrRQJVzW2qdbEUB0yi2xMIdYxcwC+y8dh3eJDw0+rko3nTAmqWhwpZWFdnz7hIMvBxO&#10;+eCbdYGbrX319PV5ThNrzOOwX05BZerzv/jP/eHEJ+vli/wAP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K/syvwAAANsAAAAPAAAAAAAAAAAAAAAAAJgCAABkcnMvZG93bnJl&#10;di54bWxQSwUGAAAAAAQABAD1AAAAhAMAAAAA&#10;" fillcolor="white [3212]" strokecolor="black [3213]" strokeweight="3pt">
                    <v:shadow on="t" color="black" opacity="26214f" origin="-.5,-.5" offset=".74836mm,.74836mm"/>
                    <v:textbox>
                      <w:txbxContent>
                        <w:p w14:paraId="178F8C71"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Ratio #2</w:t>
                          </w:r>
                        </w:p>
                      </w:txbxContent>
                    </v:textbox>
                  </v:roundrect>
                  <v:roundrect id="AutoShape 6" o:spid="_x0000_s1035" style="position:absolute;left:11695;top:7123;width:10948;height:31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eqcIA&#10;AADbAAAADwAAAGRycy9kb3ducmV2LnhtbESPT2sCMRTE7wW/Q3hCbzVrW4qsmxURKz0UWv/dH8kz&#10;u7p5WTZRt9++EQSPw8xvhilmvWvEhbpQe1YwHmUgiLU3NVsFu+3nywREiMgGG8+k4I8CzMrBU4G5&#10;8Vde02UTrUglHHJUUMXY5lIGXZHDMPItcfIOvnMYk+ysNB1eU7lr5GuWfUiHNaeFCltaVKRPm7NT&#10;8LY/xr1tlhmufvS7pd/vU5hopZ6H/XwKIlIfH+E7/WUSN4bbl/QD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16pwgAAANsAAAAPAAAAAAAAAAAAAAAAAJgCAABkcnMvZG93&#10;bnJldi54bWxQSwUGAAAAAAQABAD1AAAAhwMAAAAA&#10;" fillcolor="white [3212]" strokecolor="black [3213]" strokeweight="3pt">
                    <v:shadow on="t" color="black" opacity="26214f" origin="-.5,-.5" offset=".74836mm,.74836mm"/>
                    <v:textbox>
                      <w:txbxContent>
                        <w:p w14:paraId="790B8DCF"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Ratio #N</w:t>
                          </w:r>
                        </w:p>
                      </w:txbxContent>
                    </v:textbox>
                  </v:roundrect>
                  <v:shapetype id="_x0000_t202" coordsize="21600,21600" o:spt="202" path="m,l,21600r21600,l21600,xe">
                    <v:stroke joinstyle="miter"/>
                    <v:path gradientshapeok="t" o:connecttype="rect"/>
                  </v:shapetype>
                  <v:shape id="Text Box 288" o:spid="_x0000_s1036" type="#_x0000_t202" style="position:absolute;left:8506;top:7655;width:610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14:paraId="4B4C3855" w14:textId="77777777" w:rsidR="00B266CE" w:rsidRPr="00940218" w:rsidRDefault="00B266CE" w:rsidP="009F13E7">
                          <w:pPr>
                            <w:rPr>
                              <w:rFonts w:ascii="GibsonLight" w:hAnsi="GibsonLight"/>
                              <w:b/>
                              <w:color w:val="002060"/>
                              <w:sz w:val="28"/>
                            </w:rPr>
                          </w:pPr>
                          <w:r w:rsidRPr="00940218">
                            <w:rPr>
                              <w:rFonts w:ascii="GibsonLight" w:hAnsi="GibsonLight"/>
                              <w:b/>
                              <w:color w:val="002060"/>
                              <w:sz w:val="28"/>
                            </w:rPr>
                            <w:t>…</w:t>
                          </w:r>
                        </w:p>
                      </w:txbxContent>
                    </v:textbox>
                  </v:shape>
                </v:group>
                <v:group id="Group 196" o:spid="_x0000_s1037" style="position:absolute;left:35144;top:16300;width:23813;height:18288" coordsize="23812,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289" o:spid="_x0000_s1038" style="position:absolute;width:23812;height:18288" coordorigin="3768" coordsize="23812,1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oundrect id="AutoShape 6" o:spid="_x0000_s1039" style="position:absolute;left:3768;width:23813;height:17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0NrsA&#10;AADcAAAADwAAAGRycy9kb3ducmV2LnhtbERPuwrCMBTdBf8hXMHNpjqIVqNIQXBx8LVfm2tTbG5q&#10;E7X+vRkEx8N5L9edrcWLWl85VjBOUhDEhdMVlwrOp+1oBsIHZI21Y1LwIQ/rVb+3xEy7Nx/odQyl&#10;iCHsM1RgQmgyKX1hyKJPXEMcuZtrLYYI21LqFt8x3NZykqZTabHi2GCwodxQcT8+rYLLA02w+W56&#10;nbsNyvze7W8Po9Rw0G0WIAJ14S/+uXdawWQe58cz8Qj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GndDa7AAAA3AAAAA8AAAAAAAAAAAAAAAAAmAIAAGRycy9kb3ducmV2Lnht&#10;bFBLBQYAAAAABAAEAPUAAACAAwAAAAA=&#10;" fillcolor="#95b3d7 [1940]" strokecolor="#002060" strokeweight="3pt">
                      <v:fill opacity="40092f"/>
                      <v:textbox>
                        <w:txbxContent>
                          <w:p w14:paraId="4619F191" w14:textId="77777777" w:rsidR="00B266CE" w:rsidRPr="00940218" w:rsidRDefault="00B266CE" w:rsidP="00B87893">
                            <w:pPr>
                              <w:rPr>
                                <w:rFonts w:ascii="GibsonLight" w:hAnsi="GibsonLight"/>
                                <w:color w:val="002060"/>
                                <w:sz w:val="22"/>
                                <w:szCs w:val="22"/>
                              </w:rPr>
                            </w:pPr>
                          </w:p>
                          <w:p w14:paraId="6C551599" w14:textId="77777777" w:rsidR="00B266CE" w:rsidRPr="00940218" w:rsidRDefault="00B266CE" w:rsidP="009F13E7">
                            <w:pPr>
                              <w:rPr>
                                <w:rFonts w:ascii="GibsonLight" w:hAnsi="GibsonLight"/>
                                <w:color w:val="002060"/>
                                <w:sz w:val="22"/>
                                <w:szCs w:val="22"/>
                              </w:rPr>
                            </w:pPr>
                          </w:p>
                          <w:p w14:paraId="172A8B31" w14:textId="77777777" w:rsidR="00B266CE" w:rsidRPr="00940218" w:rsidRDefault="00B266CE" w:rsidP="009F13E7">
                            <w:pPr>
                              <w:rPr>
                                <w:rFonts w:ascii="GibsonLight" w:hAnsi="GibsonLight"/>
                                <w:color w:val="002060"/>
                                <w:sz w:val="22"/>
                                <w:szCs w:val="22"/>
                              </w:rPr>
                            </w:pPr>
                          </w:p>
                          <w:p w14:paraId="562A8CF9" w14:textId="77777777" w:rsidR="00B266CE" w:rsidRPr="00940218" w:rsidRDefault="00B266CE" w:rsidP="009F13E7">
                            <w:pPr>
                              <w:jc w:val="center"/>
                              <w:rPr>
                                <w:rFonts w:ascii="GibsonLight" w:hAnsi="GibsonLight"/>
                                <w:b/>
                                <w:color w:val="002060"/>
                                <w:sz w:val="22"/>
                                <w:szCs w:val="22"/>
                              </w:rPr>
                            </w:pPr>
                          </w:p>
                          <w:p w14:paraId="396F12CF" w14:textId="77777777" w:rsidR="00B266CE" w:rsidRPr="00940218" w:rsidRDefault="00B266CE" w:rsidP="009F13E7">
                            <w:pPr>
                              <w:jc w:val="center"/>
                              <w:rPr>
                                <w:rFonts w:ascii="GibsonLight" w:hAnsi="GibsonLight"/>
                                <w:b/>
                                <w:color w:val="002060"/>
                                <w:sz w:val="22"/>
                                <w:szCs w:val="22"/>
                              </w:rPr>
                            </w:pPr>
                          </w:p>
                          <w:p w14:paraId="78FC17FF" w14:textId="77777777" w:rsidR="00B266CE" w:rsidRPr="00940218" w:rsidRDefault="00B266CE" w:rsidP="009F13E7">
                            <w:pPr>
                              <w:jc w:val="center"/>
                              <w:rPr>
                                <w:rFonts w:ascii="GibsonLight" w:hAnsi="GibsonLight"/>
                                <w:b/>
                                <w:color w:val="002060"/>
                                <w:sz w:val="8"/>
                                <w:szCs w:val="8"/>
                              </w:rPr>
                            </w:pPr>
                          </w:p>
                          <w:p w14:paraId="7A319C1A" w14:textId="77777777" w:rsidR="00B266CE" w:rsidRPr="00940218" w:rsidRDefault="00B266CE" w:rsidP="009F13E7">
                            <w:pPr>
                              <w:jc w:val="center"/>
                              <w:rPr>
                                <w:rFonts w:ascii="GibsonLight" w:hAnsi="GibsonLight"/>
                                <w:b/>
                                <w:color w:val="002060"/>
                                <w:sz w:val="8"/>
                                <w:szCs w:val="8"/>
                              </w:rPr>
                            </w:pPr>
                          </w:p>
                          <w:p w14:paraId="5C3E850F" w14:textId="77777777" w:rsidR="00B266CE" w:rsidRPr="00940218" w:rsidRDefault="00B266CE" w:rsidP="009F13E7">
                            <w:pPr>
                              <w:jc w:val="center"/>
                              <w:rPr>
                                <w:rFonts w:ascii="GibsonLight" w:hAnsi="GibsonLight"/>
                                <w:b/>
                                <w:color w:val="002060"/>
                                <w:sz w:val="8"/>
                                <w:szCs w:val="8"/>
                              </w:rPr>
                            </w:pPr>
                          </w:p>
                          <w:p w14:paraId="658374C7" w14:textId="77777777" w:rsidR="00B266CE" w:rsidRPr="00940218" w:rsidRDefault="00B266CE" w:rsidP="009F13E7">
                            <w:pPr>
                              <w:jc w:val="center"/>
                              <w:rPr>
                                <w:rFonts w:ascii="GibsonLight" w:hAnsi="GibsonLight"/>
                                <w:b/>
                                <w:color w:val="002060"/>
                                <w:sz w:val="8"/>
                                <w:szCs w:val="8"/>
                              </w:rPr>
                            </w:pPr>
                          </w:p>
                          <w:p w14:paraId="0449AE4A" w14:textId="5012A046" w:rsidR="00B266CE" w:rsidRPr="00940218" w:rsidRDefault="00B266CE" w:rsidP="009F13E7">
                            <w:pPr>
                              <w:jc w:val="center"/>
                              <w:rPr>
                                <w:rFonts w:ascii="GibsonLight" w:hAnsi="GibsonLight"/>
                                <w:b/>
                                <w:color w:val="002060"/>
                                <w:sz w:val="28"/>
                                <w:szCs w:val="22"/>
                              </w:rPr>
                            </w:pPr>
                            <w:r w:rsidRPr="00940218">
                              <w:rPr>
                                <w:rFonts w:ascii="GibsonLight" w:hAnsi="GibsonLight"/>
                                <w:b/>
                                <w:color w:val="002060"/>
                                <w:sz w:val="28"/>
                                <w:szCs w:val="22"/>
                              </w:rPr>
                              <w:t>Weight Section(s)</w:t>
                            </w:r>
                          </w:p>
                        </w:txbxContent>
                      </v:textbox>
                    </v:roundrect>
                    <v:roundrect id="AutoShape 6" o:spid="_x0000_s1040" style="position:absolute;left:7123;top:1275;width:10948;height:36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uO8QA&#10;AADcAAAADwAAAGRycy9kb3ducmV2LnhtbESPQWsCMRSE7wX/Q3hCbzWrlWLXzYqIigehrdX7I3nN&#10;bt28LJuo23/fCIUeh5n5hikWvWvElbpQe1YwHmUgiLU3NVsFx8/N0wxEiMgGG8+k4IcCLMrBQ4G5&#10;8Tf+oOshWpEgHHJUUMXY5lIGXZHDMPItcfK+fOcwJtlZaTq8Jbhr5CTLXqTDmtNChS2tKtLnw8Up&#10;eD59x5Nt1hlu3/TU0vv+HGZaqcdhv5yDiNTH//Bfe2cUTF7HcD+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G7jvEAAAA3AAAAA8AAAAAAAAAAAAAAAAAmAIAAGRycy9k&#10;b3ducmV2LnhtbFBLBQYAAAAABAAEAPUAAACJAwAAAAA=&#10;" fillcolor="white [3212]" strokecolor="black [3213]" strokeweight="3pt">
                      <v:shadow on="t" color="black" opacity="26214f" origin="-.5,-.5" offset=".74836mm,.74836mm"/>
                      <v:textbox>
                        <w:txbxContent>
                          <w:p w14:paraId="19B00CF3" w14:textId="132A52B4"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Weight #1</w:t>
                            </w:r>
                            <w:r w:rsidRPr="00940218">
                              <w:rPr>
                                <w:rFonts w:ascii="GibsonLight" w:hAnsi="GibsonLight"/>
                                <w:b/>
                                <w:noProof/>
                                <w:color w:val="002060"/>
                                <w:sz w:val="32"/>
                              </w:rPr>
                              <w:drawing>
                                <wp:inline distT="0" distB="0" distL="0" distR="0" wp14:anchorId="7574E578" wp14:editId="40E82C44">
                                  <wp:extent cx="836295" cy="487839"/>
                                  <wp:effectExtent l="0" t="0" r="0" b="2667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0" r:qs="rId11" r:cs="rId12"/>
                                    </a:graphicData>
                                  </a:graphic>
                                </wp:inline>
                              </w:drawing>
                            </w:r>
                            <w:r w:rsidRPr="00940218">
                              <w:rPr>
                                <w:rFonts w:ascii="GibsonLight" w:hAnsi="GibsonLight"/>
                                <w:b/>
                                <w:color w:val="002060"/>
                                <w:sz w:val="24"/>
                                <w:szCs w:val="22"/>
                              </w:rPr>
                              <w:t>1</w:t>
                            </w:r>
                          </w:p>
                        </w:txbxContent>
                      </v:textbox>
                    </v:roundrect>
                    <v:shape id="Text Box 293" o:spid="_x0000_s1041" type="#_x0000_t202" style="position:absolute;left:10096;top:8548;width:6109;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14:paraId="11ED855F" w14:textId="77777777" w:rsidR="00B266CE" w:rsidRPr="00940218" w:rsidRDefault="00B266CE" w:rsidP="009F13E7">
                            <w:pPr>
                              <w:rPr>
                                <w:rFonts w:ascii="GibsonLight" w:hAnsi="GibsonLight"/>
                                <w:b/>
                                <w:color w:val="002060"/>
                                <w:sz w:val="28"/>
                              </w:rPr>
                            </w:pPr>
                            <w:r w:rsidRPr="00940218">
                              <w:rPr>
                                <w:rFonts w:ascii="GibsonLight" w:hAnsi="GibsonLight"/>
                                <w:b/>
                                <w:color w:val="002060"/>
                                <w:sz w:val="28"/>
                              </w:rPr>
                              <w:t>…</w:t>
                            </w:r>
                          </w:p>
                        </w:txbxContent>
                      </v:textbox>
                    </v:shape>
                  </v:group>
                  <v:roundrect id="AutoShape 6" o:spid="_x0000_s1042" style="position:absolute;left:6361;top:4770;width:10947;height:3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0IcIA&#10;AADcAAAADwAAAGRycy9kb3ducmV2LnhtbESPT2sCMRTE7wW/Q3hCbzWxLUVWo4hY6aHQ+u/+SJ7Z&#10;1c3Lsom6/faNIHgcZn4zzGTW+VpcqI1VYA3DgQJBbIKt2GnYbT9fRiBiQrZYByYNfxRhNu09TbCw&#10;4cprumySE7mEY4EaypSaQspoSvIYB6Ehzt4htB5Tlq2TtsVrLve1fFXqQ3qsOC+U2NCiJHPanL2G&#10;t/0x7V29VLj6Me+Ofr9PcWS0fu538zGIRF16hO/0l82cGsLtTD4C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XQhwgAAANwAAAAPAAAAAAAAAAAAAAAAAJgCAABkcnMvZG93&#10;bnJldi54bWxQSwUGAAAAAAQABAD1AAAAhwMAAAAA&#10;" fillcolor="white [3212]" strokecolor="black [3213]" strokeweight="3pt">
                    <v:shadow on="t" color="black" opacity="26214f" origin="-.5,-.5" offset=".74836mm,.74836mm"/>
                    <v:textbox>
                      <w:txbxContent>
                        <w:p w14:paraId="60223EBD"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Weight #2</w:t>
                          </w:r>
                        </w:p>
                      </w:txbxContent>
                    </v:textbox>
                  </v:roundrect>
                  <v:roundrect id="AutoShape 6" o:spid="_x0000_s1043" style="position:absolute;left:9777;top:8346;width:10947;height:34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VsIA&#10;AADcAAAADwAAAGRycy9kb3ducmV2LnhtbESPT2sCMRTE7wW/Q3hCbzXRliKrUUTa0kPB+u/+SJ7Z&#10;1c3Lskl1++2NIHgcZn4zzHTe+VqcqY1VYA3DgQJBbIKt2GnYbT9fxiBiQrZYByYN/xRhPus9TbGw&#10;4cJrOm+SE7mEY4EaypSaQspoSvIYB6Ehzt4htB5Tlq2TtsVLLve1HCn1Lj1WnBdKbGhZkjlt/ryG&#10;1/0x7V39ofBrZd4c/f6c4tho/dzvFhMQibr0CN/pb5s5NYLbmXwE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pWwgAAANwAAAAPAAAAAAAAAAAAAAAAAJgCAABkcnMvZG93&#10;bnJldi54bWxQSwUGAAAAAAQABAD1AAAAhwMAAAAA&#10;" fillcolor="white [3212]" strokecolor="black [3213]" strokeweight="3pt">
                    <v:shadow on="t" color="black" opacity="26214f" origin="-.5,-.5" offset=".74836mm,.74836mm"/>
                    <v:textbox>
                      <w:txbxContent>
                        <w:p w14:paraId="1CCDBF77" w14:textId="77777777" w:rsidR="00B266CE" w:rsidRPr="00940218" w:rsidRDefault="00B266CE" w:rsidP="009F13E7">
                          <w:pPr>
                            <w:jc w:val="center"/>
                            <w:rPr>
                              <w:rFonts w:ascii="GibsonLight" w:hAnsi="GibsonLight"/>
                              <w:b/>
                              <w:color w:val="002060"/>
                              <w:sz w:val="24"/>
                              <w:szCs w:val="22"/>
                            </w:rPr>
                          </w:pPr>
                          <w:r w:rsidRPr="00940218">
                            <w:rPr>
                              <w:rFonts w:ascii="GibsonLight" w:hAnsi="GibsonLight"/>
                              <w:b/>
                              <w:color w:val="002060"/>
                              <w:sz w:val="24"/>
                              <w:szCs w:val="22"/>
                            </w:rPr>
                            <w:t>Weight #N</w:t>
                          </w:r>
                        </w:p>
                      </w:txbxContent>
                    </v:textbox>
                  </v:roundrect>
                </v:group>
              </v:group>
            </w:pict>
          </mc:Fallback>
        </mc:AlternateContent>
      </w:r>
    </w:p>
    <w:p w14:paraId="46858FAB" w14:textId="2E334573" w:rsidR="009F13E7" w:rsidRPr="004F0578" w:rsidRDefault="009F13E7" w:rsidP="004B15D0">
      <w:pPr>
        <w:spacing w:after="120"/>
        <w:rPr>
          <w:rFonts w:ascii="GibsonLight" w:eastAsia="Arial Unicode MS" w:hAnsi="GibsonLight"/>
          <w:b/>
          <w:spacing w:val="12"/>
          <w:sz w:val="32"/>
        </w:rPr>
      </w:pPr>
    </w:p>
    <w:p w14:paraId="0CE57E7F" w14:textId="0EAB802D" w:rsidR="009F13E7" w:rsidRPr="004F0578" w:rsidRDefault="009F13E7" w:rsidP="004B15D0">
      <w:pPr>
        <w:spacing w:after="120"/>
        <w:rPr>
          <w:rFonts w:ascii="GibsonLight" w:eastAsia="Arial Unicode MS" w:hAnsi="GibsonLight"/>
          <w:b/>
          <w:spacing w:val="12"/>
          <w:sz w:val="32"/>
        </w:rPr>
      </w:pPr>
      <w:r w:rsidRPr="004F0578">
        <w:rPr>
          <w:rFonts w:ascii="GibsonLight" w:eastAsia="Arial Unicode MS" w:hAnsi="GibsonLight"/>
          <w:b/>
          <w:noProof/>
          <w:spacing w:val="12"/>
          <w:sz w:val="32"/>
        </w:rPr>
        <mc:AlternateContent>
          <mc:Choice Requires="wps">
            <w:drawing>
              <wp:anchor distT="0" distB="0" distL="114300" distR="114300" simplePos="0" relativeHeight="251646976" behindDoc="0" locked="0" layoutInCell="1" allowOverlap="1" wp14:anchorId="46FE91DD" wp14:editId="4D6B90E2">
                <wp:simplePos x="0" y="0"/>
                <wp:positionH relativeFrom="column">
                  <wp:posOffset>3811905</wp:posOffset>
                </wp:positionH>
                <wp:positionV relativeFrom="paragraph">
                  <wp:posOffset>57386</wp:posOffset>
                </wp:positionV>
                <wp:extent cx="457189" cy="1771634"/>
                <wp:effectExtent l="9525" t="0" r="48260" b="6731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7189" cy="1771634"/>
                        </a:xfrm>
                        <a:prstGeom prst="curvedConnector3">
                          <a:avLst>
                            <a:gd name="adj1" fmla="val 50000"/>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BFD9737" id="AutoShape 34" o:spid="_x0000_s1026" type="#_x0000_t38" style="position:absolute;margin-left:300.15pt;margin-top:4.5pt;width:36pt;height:139.5pt;rotation:90;flip:x;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" adj="10800" strokecolor="#002060">
                <v:stroke endarrow="block"/>
              </v:shape>
            </w:pict>
          </mc:Fallback>
        </mc:AlternateContent>
      </w:r>
    </w:p>
    <w:p w14:paraId="5B328CC7" w14:textId="77777777" w:rsidR="009F13E7" w:rsidRPr="004F0578" w:rsidRDefault="009F13E7" w:rsidP="004B15D0">
      <w:pPr>
        <w:spacing w:after="120"/>
        <w:rPr>
          <w:rFonts w:ascii="GibsonLight" w:eastAsia="Arial Unicode MS" w:hAnsi="GibsonLight"/>
          <w:b/>
          <w:spacing w:val="12"/>
          <w:sz w:val="32"/>
        </w:rPr>
      </w:pPr>
    </w:p>
    <w:p w14:paraId="3D4F8270" w14:textId="77777777" w:rsidR="009F13E7" w:rsidRPr="004F0578" w:rsidRDefault="009F13E7" w:rsidP="004B15D0">
      <w:pPr>
        <w:spacing w:after="120"/>
        <w:rPr>
          <w:rFonts w:ascii="GibsonLight" w:eastAsia="Arial Unicode MS" w:hAnsi="GibsonLight"/>
          <w:b/>
          <w:spacing w:val="12"/>
          <w:sz w:val="32"/>
        </w:rPr>
      </w:pPr>
    </w:p>
    <w:p w14:paraId="2E4BDBDB" w14:textId="25CED274" w:rsidR="009F13E7" w:rsidRPr="004F0578" w:rsidRDefault="009F13E7" w:rsidP="004B15D0">
      <w:pPr>
        <w:spacing w:after="120"/>
        <w:rPr>
          <w:rFonts w:ascii="GibsonLight" w:eastAsia="Arial Unicode MS" w:hAnsi="GibsonLight"/>
          <w:b/>
          <w:spacing w:val="12"/>
          <w:sz w:val="32"/>
        </w:rPr>
      </w:pPr>
    </w:p>
    <w:p w14:paraId="2F3E19E1" w14:textId="0BF6FE2F" w:rsidR="009F13E7" w:rsidRPr="004F0578" w:rsidRDefault="009F13E7" w:rsidP="004B15D0">
      <w:pPr>
        <w:spacing w:after="120"/>
        <w:rPr>
          <w:rFonts w:ascii="GibsonLight" w:eastAsia="Arial Unicode MS" w:hAnsi="GibsonLight"/>
          <w:b/>
          <w:spacing w:val="12"/>
          <w:sz w:val="32"/>
        </w:rPr>
      </w:pPr>
    </w:p>
    <w:p w14:paraId="7C73A4DA" w14:textId="1A40B41D" w:rsidR="009F13E7" w:rsidRPr="004F0578" w:rsidRDefault="009F13E7" w:rsidP="004B15D0">
      <w:pPr>
        <w:spacing w:after="120"/>
        <w:rPr>
          <w:rFonts w:ascii="GibsonLight" w:eastAsia="Arial Unicode MS" w:hAnsi="GibsonLight"/>
          <w:b/>
          <w:spacing w:val="12"/>
          <w:sz w:val="32"/>
        </w:rPr>
      </w:pPr>
    </w:p>
    <w:p w14:paraId="7B883069" w14:textId="34767EB9" w:rsidR="009F13E7" w:rsidRPr="004F0578" w:rsidRDefault="009F13E7" w:rsidP="004B15D0">
      <w:pPr>
        <w:spacing w:after="120"/>
        <w:rPr>
          <w:rFonts w:ascii="GibsonLight" w:eastAsia="Arial Unicode MS" w:hAnsi="GibsonLight"/>
          <w:b/>
          <w:spacing w:val="12"/>
          <w:sz w:val="32"/>
        </w:rPr>
      </w:pPr>
    </w:p>
    <w:p w14:paraId="32B617AB" w14:textId="634D1D0F" w:rsidR="009F13E7" w:rsidRPr="004F0578" w:rsidRDefault="009F13E7" w:rsidP="004B15D0">
      <w:pPr>
        <w:spacing w:after="120"/>
        <w:rPr>
          <w:rFonts w:ascii="GibsonLight" w:eastAsia="Arial Unicode MS" w:hAnsi="GibsonLight"/>
          <w:b/>
          <w:spacing w:val="12"/>
          <w:sz w:val="32"/>
        </w:rPr>
      </w:pPr>
    </w:p>
    <w:p w14:paraId="0EB6C7C7" w14:textId="796AC549" w:rsidR="009F13E7" w:rsidRPr="004F0578" w:rsidRDefault="009F13E7" w:rsidP="004B15D0">
      <w:pPr>
        <w:spacing w:after="120"/>
        <w:rPr>
          <w:rFonts w:ascii="GibsonLight" w:eastAsia="Arial Unicode MS" w:hAnsi="GibsonLight"/>
          <w:b/>
          <w:spacing w:val="12"/>
          <w:sz w:val="32"/>
        </w:rPr>
      </w:pPr>
    </w:p>
    <w:p w14:paraId="151AC9CE" w14:textId="77777777" w:rsidR="009F13E7" w:rsidRPr="004F0578" w:rsidRDefault="009F13E7" w:rsidP="004B15D0">
      <w:pPr>
        <w:spacing w:after="120"/>
        <w:rPr>
          <w:rFonts w:ascii="GibsonLight" w:eastAsia="Arial Unicode MS" w:hAnsi="GibsonLight"/>
          <w:b/>
          <w:spacing w:val="12"/>
          <w:sz w:val="32"/>
        </w:rPr>
      </w:pPr>
    </w:p>
    <w:p w14:paraId="3FBC9344" w14:textId="77777777" w:rsidR="009F13E7" w:rsidRPr="004F0578" w:rsidRDefault="009F13E7" w:rsidP="004B15D0">
      <w:pPr>
        <w:spacing w:after="120"/>
        <w:rPr>
          <w:rFonts w:ascii="GibsonLight" w:eastAsia="Arial Unicode MS" w:hAnsi="GibsonLight"/>
          <w:b/>
          <w:spacing w:val="12"/>
          <w:sz w:val="32"/>
        </w:rPr>
      </w:pPr>
    </w:p>
    <w:p w14:paraId="406A70B8" w14:textId="77777777" w:rsidR="009F13E7" w:rsidRPr="004F0578" w:rsidRDefault="009F13E7" w:rsidP="004B15D0">
      <w:pPr>
        <w:spacing w:after="120"/>
        <w:rPr>
          <w:rFonts w:ascii="GibsonLight" w:eastAsia="Arial Unicode MS" w:hAnsi="GibsonLight"/>
          <w:b/>
          <w:spacing w:val="12"/>
          <w:sz w:val="32"/>
        </w:rPr>
      </w:pPr>
    </w:p>
    <w:p w14:paraId="4E731497" w14:textId="239B4642" w:rsidR="009F13E7" w:rsidRPr="004F0578" w:rsidRDefault="009F13E7" w:rsidP="004B15D0">
      <w:pPr>
        <w:spacing w:after="120"/>
        <w:rPr>
          <w:rFonts w:ascii="GibsonLight" w:eastAsia="Arial Unicode MS" w:hAnsi="GibsonLight"/>
          <w:b/>
          <w:spacing w:val="12"/>
          <w:sz w:val="32"/>
        </w:rPr>
      </w:pPr>
    </w:p>
    <w:p w14:paraId="2FE9C537" w14:textId="77777777" w:rsidR="009F13E7" w:rsidRPr="004F0578" w:rsidRDefault="009F13E7" w:rsidP="004B15D0">
      <w:pPr>
        <w:spacing w:after="120"/>
        <w:rPr>
          <w:rFonts w:ascii="GibsonLight" w:eastAsia="Arial Unicode MS" w:hAnsi="GibsonLight"/>
          <w:b/>
          <w:spacing w:val="12"/>
          <w:sz w:val="32"/>
        </w:rPr>
      </w:pPr>
    </w:p>
    <w:p w14:paraId="74190BBB" w14:textId="2D82637C" w:rsidR="009F13E7" w:rsidRPr="004F0578" w:rsidRDefault="00826EAE" w:rsidP="004B15D0">
      <w:pPr>
        <w:pStyle w:val="Heading1"/>
        <w:numPr>
          <w:ilvl w:val="0"/>
          <w:numId w:val="0"/>
        </w:numPr>
        <w:spacing w:after="120"/>
        <w:rPr>
          <w:rFonts w:ascii="Gibson" w:eastAsia="Arial Unicode MS" w:hAnsi="Gibson"/>
          <w:b w:val="0"/>
          <w:spacing w:val="12"/>
          <w:sz w:val="44"/>
        </w:rPr>
      </w:pPr>
      <w:bookmarkStart w:id="7" w:name="_Toc100072026"/>
      <w:r w:rsidRPr="004F0578">
        <w:rPr>
          <w:rFonts w:ascii="Gibson" w:eastAsia="Arial Unicode MS" w:hAnsi="Gibson"/>
          <w:b w:val="0"/>
          <w:spacing w:val="12"/>
          <w:sz w:val="44"/>
        </w:rPr>
        <w:lastRenderedPageBreak/>
        <w:t xml:space="preserve">Data Collection </w:t>
      </w:r>
      <w:r w:rsidR="009F13E7" w:rsidRPr="004F0578">
        <w:rPr>
          <w:rFonts w:ascii="Gibson" w:eastAsia="Arial Unicode MS" w:hAnsi="Gibson"/>
          <w:b w:val="0"/>
          <w:spacing w:val="12"/>
          <w:sz w:val="44"/>
        </w:rPr>
        <w:t>Methodology</w:t>
      </w:r>
      <w:bookmarkEnd w:id="7"/>
    </w:p>
    <w:p w14:paraId="7E2F4DFB" w14:textId="2172EB50" w:rsidR="00826EAE" w:rsidRPr="00E20483" w:rsidRDefault="009F13E7" w:rsidP="004B15D0">
      <w:pPr>
        <w:pStyle w:val="NormalWeb"/>
        <w:spacing w:before="0" w:beforeAutospacing="0" w:after="120" w:afterAutospacing="0"/>
        <w:jc w:val="both"/>
        <w:rPr>
          <w:rFonts w:ascii="GibsonLight" w:eastAsia="Arial Unicode MS" w:hAnsi="GibsonLight"/>
          <w:spacing w:val="12"/>
          <w:sz w:val="22"/>
          <w:szCs w:val="22"/>
        </w:rPr>
      </w:pPr>
      <w:r w:rsidRPr="00E20483">
        <w:rPr>
          <w:rFonts w:ascii="GibsonLight" w:eastAsia="Arial Unicode MS" w:hAnsi="GibsonLight"/>
          <w:spacing w:val="12"/>
          <w:sz w:val="22"/>
          <w:szCs w:val="22"/>
        </w:rPr>
        <w:t>The published articles summarized in the Registry undergo a formalized review protocol (</w:t>
      </w:r>
      <w:r w:rsidR="00F90B78" w:rsidRPr="00E20483">
        <w:rPr>
          <w:rFonts w:ascii="GibsonLight" w:eastAsia="Arial Unicode MS" w:hAnsi="GibsonLight"/>
          <w:spacing w:val="12"/>
          <w:sz w:val="22"/>
          <w:szCs w:val="22"/>
        </w:rPr>
        <w:fldChar w:fldCharType="begin"/>
      </w:r>
      <w:r w:rsidR="00F90B78" w:rsidRPr="00E20483">
        <w:rPr>
          <w:rFonts w:ascii="GibsonLight" w:eastAsia="Arial Unicode MS" w:hAnsi="GibsonLight"/>
          <w:spacing w:val="12"/>
          <w:sz w:val="22"/>
          <w:szCs w:val="22"/>
        </w:rPr>
        <w:instrText xml:space="preserve"> REF _Ref81317264 \h  \* MERGEFORMAT </w:instrText>
      </w:r>
      <w:r w:rsidR="00F90B78" w:rsidRPr="00E20483">
        <w:rPr>
          <w:rFonts w:ascii="GibsonLight" w:eastAsia="Arial Unicode MS" w:hAnsi="GibsonLight"/>
          <w:spacing w:val="12"/>
          <w:sz w:val="22"/>
          <w:szCs w:val="22"/>
        </w:rPr>
      </w:r>
      <w:r w:rsidR="00F90B78" w:rsidRPr="00E20483">
        <w:rPr>
          <w:rFonts w:ascii="GibsonLight" w:eastAsia="Arial Unicode MS" w:hAnsi="GibsonLight"/>
          <w:spacing w:val="12"/>
          <w:sz w:val="22"/>
          <w:szCs w:val="22"/>
        </w:rPr>
        <w:fldChar w:fldCharType="separate"/>
      </w:r>
      <w:r w:rsidR="00BF7CC8" w:rsidRPr="00E20483">
        <w:rPr>
          <w:rFonts w:ascii="GibsonLight" w:eastAsia="Arial Unicode MS" w:hAnsi="GibsonLight"/>
          <w:spacing w:val="12"/>
          <w:sz w:val="22"/>
          <w:szCs w:val="22"/>
        </w:rPr>
        <w:t xml:space="preserve">Figure </w:t>
      </w:r>
      <w:r w:rsidR="00BF7CC8" w:rsidRPr="00E20483">
        <w:rPr>
          <w:rFonts w:ascii="GibsonLight" w:eastAsia="Arial Unicode MS" w:hAnsi="GibsonLight"/>
          <w:noProof/>
          <w:spacing w:val="12"/>
          <w:sz w:val="22"/>
          <w:szCs w:val="22"/>
        </w:rPr>
        <w:t>2</w:t>
      </w:r>
      <w:r w:rsidR="00F90B78" w:rsidRPr="00E20483">
        <w:rPr>
          <w:rFonts w:ascii="GibsonLight" w:eastAsia="Arial Unicode MS" w:hAnsi="GibsonLight"/>
          <w:spacing w:val="12"/>
          <w:sz w:val="22"/>
          <w:szCs w:val="22"/>
        </w:rPr>
        <w:fldChar w:fldCharType="end"/>
      </w:r>
      <w:r w:rsidRPr="00E20483">
        <w:rPr>
          <w:rFonts w:ascii="GibsonLight" w:eastAsia="Arial Unicode MS" w:hAnsi="GibsonLight"/>
          <w:spacing w:val="12"/>
          <w:sz w:val="22"/>
          <w:szCs w:val="22"/>
        </w:rPr>
        <w:t>).</w:t>
      </w:r>
      <w:r w:rsidR="0049113F" w:rsidRPr="00E20483">
        <w:rPr>
          <w:rFonts w:ascii="GibsonLight" w:eastAsia="Arial Unicode MS" w:hAnsi="GibsonLight"/>
          <w:spacing w:val="12"/>
          <w:sz w:val="22"/>
          <w:szCs w:val="22"/>
        </w:rPr>
        <w:t xml:space="preserve"> </w:t>
      </w:r>
      <w:r w:rsidRPr="00E20483">
        <w:rPr>
          <w:rFonts w:ascii="GibsonLight" w:eastAsia="Arial Unicode MS" w:hAnsi="GibsonLight"/>
          <w:spacing w:val="12"/>
          <w:sz w:val="22"/>
          <w:szCs w:val="22"/>
        </w:rPr>
        <w:t>The analyses address a wide var</w:t>
      </w:r>
      <w:r w:rsidR="0049113F" w:rsidRPr="00E20483">
        <w:rPr>
          <w:rFonts w:ascii="GibsonLight" w:eastAsia="Arial Unicode MS" w:hAnsi="GibsonLight"/>
          <w:spacing w:val="12"/>
          <w:sz w:val="22"/>
          <w:szCs w:val="22"/>
        </w:rPr>
        <w:t>iety of diseases and treatments. Additionally, a</w:t>
      </w:r>
      <w:r w:rsidRPr="00E20483">
        <w:rPr>
          <w:rFonts w:ascii="GibsonLight" w:eastAsia="Arial Unicode MS" w:hAnsi="GibsonLight"/>
          <w:spacing w:val="12"/>
          <w:sz w:val="22"/>
          <w:szCs w:val="22"/>
        </w:rPr>
        <w:t xml:space="preserve">ll </w:t>
      </w:r>
      <w:r w:rsidR="0049113F" w:rsidRPr="00E20483">
        <w:rPr>
          <w:rFonts w:ascii="GibsonLight" w:eastAsia="Arial Unicode MS" w:hAnsi="GibsonLight"/>
          <w:spacing w:val="12"/>
          <w:sz w:val="22"/>
          <w:szCs w:val="22"/>
        </w:rPr>
        <w:t xml:space="preserve">articles </w:t>
      </w:r>
      <w:r w:rsidRPr="00E20483">
        <w:rPr>
          <w:rFonts w:ascii="GibsonLight" w:eastAsia="Arial Unicode MS" w:hAnsi="GibsonLight"/>
          <w:spacing w:val="12"/>
          <w:sz w:val="22"/>
          <w:szCs w:val="22"/>
        </w:rPr>
        <w:t>measure health effects in terms of quality-adjusted life years (QALYs)</w:t>
      </w:r>
      <w:r w:rsidR="009035A7" w:rsidRPr="00E20483">
        <w:rPr>
          <w:rFonts w:ascii="GibsonLight" w:eastAsia="Arial Unicode MS" w:hAnsi="GibsonLight"/>
          <w:spacing w:val="12"/>
          <w:sz w:val="22"/>
          <w:szCs w:val="22"/>
        </w:rPr>
        <w:t xml:space="preserve"> or disability-adjusted life years (DALYs)</w:t>
      </w:r>
      <w:r w:rsidRPr="00E20483">
        <w:rPr>
          <w:rFonts w:ascii="GibsonLight" w:eastAsia="Arial Unicode MS" w:hAnsi="GibsonLight"/>
          <w:spacing w:val="12"/>
          <w:sz w:val="22"/>
          <w:szCs w:val="22"/>
        </w:rPr>
        <w:t>.</w:t>
      </w:r>
      <w:r w:rsidR="0049113F" w:rsidRPr="00E20483">
        <w:rPr>
          <w:rFonts w:ascii="GibsonLight" w:eastAsia="Arial Unicode MS" w:hAnsi="GibsonLight"/>
          <w:spacing w:val="12"/>
          <w:sz w:val="22"/>
          <w:szCs w:val="22"/>
        </w:rPr>
        <w:t xml:space="preserve"> </w:t>
      </w:r>
      <w:r w:rsidRPr="00E20483">
        <w:rPr>
          <w:rFonts w:ascii="GibsonLight" w:eastAsia="Arial Unicode MS" w:hAnsi="GibsonLight"/>
          <w:spacing w:val="12"/>
          <w:sz w:val="22"/>
          <w:szCs w:val="22"/>
        </w:rPr>
        <w:t>The QALY is a standard measure that accounts for quality of life (morbidity) and longevity (mortality).</w:t>
      </w:r>
      <w:r w:rsidR="0049113F" w:rsidRPr="00E20483">
        <w:rPr>
          <w:rFonts w:ascii="GibsonLight" w:eastAsia="Arial Unicode MS" w:hAnsi="GibsonLight"/>
          <w:spacing w:val="12"/>
          <w:sz w:val="22"/>
          <w:szCs w:val="22"/>
        </w:rPr>
        <w:t xml:space="preserve"> </w:t>
      </w:r>
      <w:r w:rsidR="00B87893" w:rsidRPr="00E20483">
        <w:rPr>
          <w:rFonts w:ascii="GibsonLight" w:eastAsia="Arial Unicode MS" w:hAnsi="GibsonLight"/>
          <w:spacing w:val="12"/>
          <w:sz w:val="22"/>
          <w:szCs w:val="22"/>
        </w:rPr>
        <w:t xml:space="preserve">The DALY is </w:t>
      </w:r>
      <w:r w:rsidR="00940218" w:rsidRPr="00E20483">
        <w:rPr>
          <w:rFonts w:ascii="GibsonLight" w:eastAsia="Arial Unicode MS" w:hAnsi="GibsonLight"/>
          <w:spacing w:val="12"/>
          <w:sz w:val="22"/>
          <w:szCs w:val="22"/>
        </w:rPr>
        <w:t xml:space="preserve">a </w:t>
      </w:r>
      <w:r w:rsidR="00B87893" w:rsidRPr="00E20483">
        <w:rPr>
          <w:rFonts w:ascii="GibsonLight" w:eastAsia="Arial Unicode MS" w:hAnsi="GibsonLight"/>
          <w:spacing w:val="12"/>
          <w:sz w:val="22"/>
          <w:szCs w:val="22"/>
        </w:rPr>
        <w:t>global standard f</w:t>
      </w:r>
      <w:r w:rsidR="00940218" w:rsidRPr="00E20483">
        <w:rPr>
          <w:rFonts w:ascii="GibsonLight" w:eastAsia="Arial Unicode MS" w:hAnsi="GibsonLight"/>
          <w:spacing w:val="12"/>
          <w:sz w:val="22"/>
          <w:szCs w:val="22"/>
        </w:rPr>
        <w:t>or measuring burden of disease and</w:t>
      </w:r>
      <w:r w:rsidR="00B87893" w:rsidRPr="00E20483">
        <w:rPr>
          <w:rFonts w:ascii="GibsonLight" w:eastAsia="Arial Unicode MS" w:hAnsi="GibsonLight"/>
          <w:spacing w:val="12"/>
          <w:sz w:val="22"/>
          <w:szCs w:val="22"/>
        </w:rPr>
        <w:t xml:space="preserve"> expressed as the number of years lost due to ill health, disability or early death. </w:t>
      </w:r>
    </w:p>
    <w:p w14:paraId="0DEC0D9E" w14:textId="66E0E16F" w:rsidR="009F13E7" w:rsidRPr="00E20483" w:rsidRDefault="00826EAE" w:rsidP="004B15D0">
      <w:pPr>
        <w:pStyle w:val="NormalWeb"/>
        <w:spacing w:before="0" w:beforeAutospacing="0" w:after="120" w:afterAutospacing="0"/>
        <w:jc w:val="both"/>
        <w:rPr>
          <w:rFonts w:ascii="GibsonLight" w:eastAsia="Arial Unicode MS" w:hAnsi="GibsonLight"/>
          <w:spacing w:val="12"/>
          <w:sz w:val="22"/>
          <w:szCs w:val="22"/>
        </w:rPr>
      </w:pPr>
      <w:r w:rsidRPr="00E20483">
        <w:rPr>
          <w:rFonts w:ascii="GibsonLight" w:eastAsia="Arial Unicode MS" w:hAnsi="GibsonLight"/>
          <w:spacing w:val="12"/>
          <w:sz w:val="22"/>
          <w:szCs w:val="22"/>
        </w:rPr>
        <w:t xml:space="preserve">The first stage of data collection includes a literature search. </w:t>
      </w:r>
      <w:r w:rsidR="003577D3" w:rsidRPr="00E20483">
        <w:rPr>
          <w:rFonts w:ascii="GibsonLight" w:eastAsia="Arial Unicode MS" w:hAnsi="GibsonLight"/>
          <w:spacing w:val="12"/>
          <w:sz w:val="22"/>
          <w:szCs w:val="22"/>
        </w:rPr>
        <w:t>The CEA Registry team searches PubMed, Scopus,</w:t>
      </w:r>
      <w:r w:rsidR="00B266CE" w:rsidRPr="00E20483">
        <w:rPr>
          <w:rFonts w:ascii="GibsonLight" w:eastAsia="Arial Unicode MS" w:hAnsi="GibsonLight"/>
          <w:spacing w:val="12"/>
          <w:sz w:val="22"/>
          <w:szCs w:val="22"/>
        </w:rPr>
        <w:t xml:space="preserve"> and</w:t>
      </w:r>
      <w:r w:rsidR="003577D3" w:rsidRPr="00E20483">
        <w:rPr>
          <w:rFonts w:ascii="GibsonLight" w:eastAsia="Arial Unicode MS" w:hAnsi="GibsonLight"/>
          <w:spacing w:val="12"/>
          <w:sz w:val="22"/>
          <w:szCs w:val="22"/>
        </w:rPr>
        <w:t xml:space="preserve"> Embase </w:t>
      </w:r>
      <w:r w:rsidR="009F13E7" w:rsidRPr="00E20483">
        <w:rPr>
          <w:rFonts w:ascii="GibsonLight" w:eastAsia="Arial Unicode MS" w:hAnsi="GibsonLight"/>
          <w:spacing w:val="12"/>
          <w:sz w:val="22"/>
          <w:szCs w:val="22"/>
        </w:rPr>
        <w:t xml:space="preserve">for English-language articles using key search terms detailed in </w:t>
      </w:r>
      <w:r w:rsidR="00B157D5" w:rsidRPr="00E20483">
        <w:rPr>
          <w:rFonts w:ascii="GibsonLight" w:eastAsia="Arial Unicode MS" w:hAnsi="GibsonLight"/>
          <w:spacing w:val="12"/>
          <w:sz w:val="22"/>
          <w:szCs w:val="22"/>
        </w:rPr>
        <w:t>Table 1</w:t>
      </w:r>
      <w:r w:rsidR="00726EBD" w:rsidRPr="00E20483">
        <w:rPr>
          <w:rFonts w:ascii="GibsonLight" w:eastAsia="Arial Unicode MS" w:hAnsi="GibsonLight"/>
          <w:spacing w:val="12"/>
          <w:sz w:val="22"/>
          <w:szCs w:val="22"/>
        </w:rPr>
        <w:t>.</w:t>
      </w:r>
    </w:p>
    <w:p w14:paraId="6D838B9A" w14:textId="7CF8D474" w:rsidR="00826EAE" w:rsidRPr="00E20483" w:rsidRDefault="00B266CE" w:rsidP="004B15D0">
      <w:pPr>
        <w:pStyle w:val="NormalWeb"/>
        <w:spacing w:before="0" w:beforeAutospacing="0" w:after="120" w:afterAutospacing="0"/>
        <w:jc w:val="both"/>
        <w:rPr>
          <w:rFonts w:ascii="GibsonLight" w:eastAsia="Arial Unicode MS" w:hAnsi="GibsonLight"/>
          <w:spacing w:val="12"/>
          <w:sz w:val="22"/>
          <w:szCs w:val="22"/>
        </w:rPr>
      </w:pPr>
      <w:r w:rsidRPr="00E20483">
        <w:rPr>
          <w:rFonts w:ascii="GibsonLight" w:eastAsia="Arial Unicode MS" w:hAnsi="GibsonLight"/>
          <w:spacing w:val="12"/>
          <w:sz w:val="22"/>
          <w:szCs w:val="22"/>
        </w:rPr>
        <w:t>Next</w:t>
      </w:r>
      <w:r w:rsidR="00826EAE" w:rsidRPr="00E20483">
        <w:rPr>
          <w:rFonts w:ascii="GibsonLight" w:eastAsia="Arial Unicode MS" w:hAnsi="GibsonLight"/>
          <w:spacing w:val="12"/>
          <w:sz w:val="22"/>
          <w:szCs w:val="22"/>
        </w:rPr>
        <w:t xml:space="preserve">, </w:t>
      </w:r>
      <w:r w:rsidR="00F23967" w:rsidRPr="00E20483">
        <w:rPr>
          <w:rFonts w:ascii="GibsonLight" w:eastAsia="Arial Unicode MS" w:hAnsi="GibsonLight"/>
          <w:spacing w:val="12"/>
          <w:sz w:val="22"/>
          <w:szCs w:val="22"/>
        </w:rPr>
        <w:t xml:space="preserve">the CEA Registry team </w:t>
      </w:r>
      <w:r w:rsidR="00940218" w:rsidRPr="00E20483">
        <w:rPr>
          <w:rFonts w:ascii="GibsonLight" w:eastAsia="Arial Unicode MS" w:hAnsi="GibsonLight"/>
          <w:spacing w:val="12"/>
          <w:sz w:val="22"/>
          <w:szCs w:val="22"/>
        </w:rPr>
        <w:t xml:space="preserve">screens the abstracts from identified articles </w:t>
      </w:r>
      <w:r w:rsidR="00B87893" w:rsidRPr="00E20483">
        <w:rPr>
          <w:rFonts w:ascii="GibsonLight" w:eastAsia="Arial Unicode MS" w:hAnsi="GibsonLight"/>
          <w:spacing w:val="12"/>
          <w:sz w:val="22"/>
          <w:szCs w:val="22"/>
        </w:rPr>
        <w:t xml:space="preserve">to determine if the </w:t>
      </w:r>
      <w:r w:rsidR="00EB3A1F" w:rsidRPr="00E20483">
        <w:rPr>
          <w:rFonts w:ascii="GibsonLight" w:eastAsia="Arial Unicode MS" w:hAnsi="GibsonLight"/>
          <w:spacing w:val="12"/>
          <w:sz w:val="22"/>
          <w:szCs w:val="22"/>
        </w:rPr>
        <w:t>study</w:t>
      </w:r>
      <w:r w:rsidR="00B87893" w:rsidRPr="00E20483">
        <w:rPr>
          <w:rFonts w:ascii="GibsonLight" w:eastAsia="Arial Unicode MS" w:hAnsi="GibsonLight"/>
          <w:spacing w:val="12"/>
          <w:sz w:val="22"/>
          <w:szCs w:val="22"/>
        </w:rPr>
        <w:t xml:space="preserve"> contains an original cost-utility estimate. We exclude systematic reviews, editorials, or methodological articles, as well as cost-effectiveness analyses that do not use QALYs or DAL</w:t>
      </w:r>
      <w:r w:rsidR="00940218" w:rsidRPr="00E20483">
        <w:rPr>
          <w:rFonts w:ascii="GibsonLight" w:eastAsia="Arial Unicode MS" w:hAnsi="GibsonLight"/>
          <w:spacing w:val="12"/>
          <w:sz w:val="22"/>
          <w:szCs w:val="22"/>
        </w:rPr>
        <w:t>Ys to quantify health benefits.</w:t>
      </w:r>
    </w:p>
    <w:p w14:paraId="1FFB6C51" w14:textId="70ED1AA8" w:rsidR="00726EBD" w:rsidRPr="00E20483" w:rsidRDefault="00CC0FB9" w:rsidP="004B15D0">
      <w:pPr>
        <w:pStyle w:val="NormalWeb"/>
        <w:spacing w:before="0" w:beforeAutospacing="0" w:after="120" w:afterAutospacing="0"/>
        <w:jc w:val="both"/>
        <w:rPr>
          <w:rFonts w:ascii="GibsonLight" w:eastAsia="Arial Unicode MS" w:hAnsi="GibsonLight"/>
          <w:spacing w:val="12"/>
          <w:sz w:val="22"/>
          <w:szCs w:val="22"/>
        </w:rPr>
      </w:pPr>
      <w:r w:rsidRPr="00E20483">
        <w:rPr>
          <w:rFonts w:ascii="GibsonLight" w:eastAsia="Arial Unicode MS" w:hAnsi="GibsonLight"/>
          <w:spacing w:val="12"/>
          <w:sz w:val="22"/>
          <w:szCs w:val="22"/>
        </w:rPr>
        <w:t>Abstracts that meet the CEA Registry’s inclusion criteria are</w:t>
      </w:r>
      <w:r w:rsidR="00F23967" w:rsidRPr="00E20483">
        <w:rPr>
          <w:rFonts w:ascii="GibsonLight" w:eastAsia="Arial Unicode MS" w:hAnsi="GibsonLight"/>
          <w:spacing w:val="12"/>
          <w:sz w:val="22"/>
          <w:szCs w:val="22"/>
        </w:rPr>
        <w:t xml:space="preserve"> triaged for full data collection or partial data collection. </w:t>
      </w:r>
      <w:r w:rsidR="008E6B1B" w:rsidRPr="00E20483">
        <w:rPr>
          <w:rFonts w:ascii="GibsonLight" w:eastAsia="Arial Unicode MS" w:hAnsi="GibsonLight"/>
          <w:spacing w:val="12"/>
          <w:sz w:val="22"/>
          <w:szCs w:val="22"/>
        </w:rPr>
        <w:t>Articles selected for full data collection are</w:t>
      </w:r>
      <w:r w:rsidR="00B266CE" w:rsidRPr="00E20483">
        <w:rPr>
          <w:rFonts w:ascii="GibsonLight" w:eastAsia="Arial Unicode MS" w:hAnsi="GibsonLight"/>
          <w:spacing w:val="12"/>
          <w:sz w:val="22"/>
          <w:szCs w:val="22"/>
        </w:rPr>
        <w:t xml:space="preserve"> either 1)</w:t>
      </w:r>
      <w:r w:rsidR="008E6B1B" w:rsidRPr="00E20483">
        <w:rPr>
          <w:rFonts w:ascii="GibsonLight" w:eastAsia="Arial Unicode MS" w:hAnsi="GibsonLight"/>
          <w:spacing w:val="12"/>
          <w:sz w:val="22"/>
          <w:szCs w:val="22"/>
        </w:rPr>
        <w:t xml:space="preserve"> a</w:t>
      </w:r>
      <w:r w:rsidR="00940218" w:rsidRPr="00E20483">
        <w:rPr>
          <w:rFonts w:ascii="GibsonLight" w:eastAsia="Arial Unicode MS" w:hAnsi="GibsonLight"/>
          <w:spacing w:val="12"/>
          <w:sz w:val="22"/>
          <w:szCs w:val="22"/>
        </w:rPr>
        <w:t>rticles published in an academic journal with a journal impact factor &gt;</w:t>
      </w:r>
      <w:r w:rsidR="001C07C8" w:rsidRPr="00E20483">
        <w:rPr>
          <w:rFonts w:ascii="GibsonLight" w:eastAsia="Arial Unicode MS" w:hAnsi="GibsonLight"/>
          <w:spacing w:val="12"/>
          <w:sz w:val="22"/>
          <w:szCs w:val="22"/>
        </w:rPr>
        <w:t>=</w:t>
      </w:r>
      <w:r w:rsidR="008E6B1B" w:rsidRPr="00E20483">
        <w:rPr>
          <w:rFonts w:ascii="GibsonLight" w:eastAsia="Arial Unicode MS" w:hAnsi="GibsonLight"/>
          <w:spacing w:val="12"/>
          <w:sz w:val="22"/>
          <w:szCs w:val="22"/>
        </w:rPr>
        <w:t>2</w:t>
      </w:r>
      <w:r w:rsidR="00B266CE" w:rsidRPr="00E20483">
        <w:rPr>
          <w:rFonts w:ascii="GibsonLight" w:eastAsia="Arial Unicode MS" w:hAnsi="GibsonLight"/>
          <w:spacing w:val="12"/>
          <w:sz w:val="22"/>
          <w:szCs w:val="22"/>
        </w:rPr>
        <w:t>, 2)</w:t>
      </w:r>
      <w:r w:rsidR="008E6B1B" w:rsidRPr="00E20483">
        <w:rPr>
          <w:rFonts w:ascii="GibsonLight" w:eastAsia="Arial Unicode MS" w:hAnsi="GibsonLight"/>
          <w:spacing w:val="12"/>
          <w:sz w:val="22"/>
          <w:szCs w:val="22"/>
        </w:rPr>
        <w:t xml:space="preserve"> articles published</w:t>
      </w:r>
      <w:r w:rsidR="00940218" w:rsidRPr="00E20483">
        <w:rPr>
          <w:rFonts w:ascii="GibsonLight" w:eastAsia="Arial Unicode MS" w:hAnsi="GibsonLight"/>
          <w:spacing w:val="12"/>
          <w:sz w:val="22"/>
          <w:szCs w:val="22"/>
        </w:rPr>
        <w:t xml:space="preserve"> </w:t>
      </w:r>
      <w:r w:rsidR="008E6B1B" w:rsidRPr="00E20483">
        <w:rPr>
          <w:rFonts w:ascii="GibsonLight" w:eastAsia="Arial Unicode MS" w:hAnsi="GibsonLight"/>
          <w:spacing w:val="12"/>
          <w:sz w:val="22"/>
          <w:szCs w:val="22"/>
        </w:rPr>
        <w:t>in a</w:t>
      </w:r>
      <w:r w:rsidR="00940218" w:rsidRPr="00E20483">
        <w:rPr>
          <w:rFonts w:ascii="GibsonLight" w:eastAsia="Arial Unicode MS" w:hAnsi="GibsonLight"/>
          <w:spacing w:val="12"/>
          <w:sz w:val="22"/>
          <w:szCs w:val="22"/>
        </w:rPr>
        <w:t xml:space="preserve"> </w:t>
      </w:r>
      <w:r w:rsidR="008E6B1B" w:rsidRPr="00E20483">
        <w:rPr>
          <w:rFonts w:ascii="GibsonLight" w:eastAsia="Arial Unicode MS" w:hAnsi="GibsonLight"/>
          <w:spacing w:val="12"/>
          <w:sz w:val="22"/>
          <w:szCs w:val="22"/>
        </w:rPr>
        <w:t>journal that frequently publishes CEAs</w:t>
      </w:r>
      <w:r w:rsidR="009035A7" w:rsidRPr="00E20483">
        <w:rPr>
          <w:rFonts w:ascii="GibsonLight" w:eastAsia="Arial Unicode MS" w:hAnsi="GibsonLight"/>
          <w:spacing w:val="12"/>
          <w:sz w:val="22"/>
          <w:szCs w:val="22"/>
        </w:rPr>
        <w:t xml:space="preserve"> </w:t>
      </w:r>
      <w:r w:rsidR="008E6B1B"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Table 2)</w:t>
      </w:r>
      <w:r w:rsidR="00B266CE" w:rsidRPr="00E20483">
        <w:rPr>
          <w:rFonts w:ascii="GibsonLight" w:eastAsia="Arial Unicode MS" w:hAnsi="GibsonLight"/>
          <w:spacing w:val="12"/>
          <w:sz w:val="22"/>
          <w:szCs w:val="22"/>
        </w:rPr>
        <w:t>, or 3) articles that use DALYs to quantify health benefits</w:t>
      </w:r>
      <w:r w:rsidR="009035A7" w:rsidRPr="00E20483">
        <w:rPr>
          <w:rFonts w:ascii="GibsonLight" w:eastAsia="Arial Unicode MS" w:hAnsi="GibsonLight"/>
          <w:spacing w:val="12"/>
          <w:sz w:val="22"/>
          <w:szCs w:val="22"/>
        </w:rPr>
        <w:t xml:space="preserve">. </w:t>
      </w:r>
      <w:r w:rsidR="00F23967" w:rsidRPr="00E20483">
        <w:rPr>
          <w:rFonts w:ascii="GibsonLight" w:eastAsia="Arial Unicode MS" w:hAnsi="GibsonLight"/>
          <w:spacing w:val="12"/>
          <w:sz w:val="22"/>
          <w:szCs w:val="22"/>
        </w:rPr>
        <w:t>A</w:t>
      </w:r>
      <w:r w:rsidR="009F13E7" w:rsidRPr="00E20483">
        <w:rPr>
          <w:rFonts w:ascii="GibsonLight" w:eastAsia="Arial Unicode MS" w:hAnsi="GibsonLight"/>
          <w:spacing w:val="12"/>
          <w:sz w:val="22"/>
          <w:szCs w:val="22"/>
        </w:rPr>
        <w:t xml:space="preserve">rticles selected for partial review </w:t>
      </w:r>
      <w:r w:rsidR="00B05BDE" w:rsidRPr="00E20483">
        <w:rPr>
          <w:rFonts w:ascii="GibsonLight" w:eastAsia="Arial Unicode MS" w:hAnsi="GibsonLight"/>
          <w:spacing w:val="12"/>
          <w:sz w:val="22"/>
          <w:szCs w:val="22"/>
        </w:rPr>
        <w:t xml:space="preserve">are </w:t>
      </w:r>
      <w:r w:rsidR="009035A7" w:rsidRPr="00E20483">
        <w:rPr>
          <w:rFonts w:ascii="GibsonLight" w:eastAsia="Arial Unicode MS" w:hAnsi="GibsonLight"/>
          <w:spacing w:val="12"/>
          <w:sz w:val="22"/>
          <w:szCs w:val="22"/>
        </w:rPr>
        <w:t>published in journal</w:t>
      </w:r>
      <w:r w:rsidR="000043B3" w:rsidRPr="00E20483">
        <w:rPr>
          <w:rFonts w:ascii="GibsonLight" w:eastAsia="Arial Unicode MS" w:hAnsi="GibsonLight"/>
          <w:spacing w:val="12"/>
          <w:sz w:val="22"/>
          <w:szCs w:val="22"/>
        </w:rPr>
        <w:t>s</w:t>
      </w:r>
      <w:r w:rsidR="009035A7" w:rsidRPr="00E20483">
        <w:rPr>
          <w:rFonts w:ascii="GibsonLight" w:eastAsia="Arial Unicode MS" w:hAnsi="GibsonLight"/>
          <w:spacing w:val="12"/>
          <w:sz w:val="22"/>
          <w:szCs w:val="22"/>
        </w:rPr>
        <w:t xml:space="preserve"> with a</w:t>
      </w:r>
      <w:r w:rsidR="00B05BDE" w:rsidRPr="00E20483">
        <w:rPr>
          <w:rFonts w:ascii="GibsonLight" w:eastAsia="Arial Unicode MS" w:hAnsi="GibsonLight"/>
          <w:spacing w:val="12"/>
          <w:sz w:val="22"/>
          <w:szCs w:val="22"/>
        </w:rPr>
        <w:t>n</w:t>
      </w:r>
      <w:r w:rsidR="009035A7" w:rsidRPr="00E20483">
        <w:rPr>
          <w:rFonts w:ascii="GibsonLight" w:eastAsia="Arial Unicode MS" w:hAnsi="GibsonLight"/>
          <w:spacing w:val="12"/>
          <w:sz w:val="22"/>
          <w:szCs w:val="22"/>
        </w:rPr>
        <w:t xml:space="preserve"> impact factor </w:t>
      </w:r>
      <w:r w:rsidR="001C07C8" w:rsidRPr="00E20483">
        <w:rPr>
          <w:rFonts w:ascii="GibsonLight" w:eastAsia="Arial Unicode MS" w:hAnsi="GibsonLight"/>
          <w:spacing w:val="12"/>
          <w:sz w:val="22"/>
          <w:szCs w:val="22"/>
        </w:rPr>
        <w:t>&lt;</w:t>
      </w:r>
      <w:r w:rsidR="009035A7" w:rsidRPr="00E20483">
        <w:rPr>
          <w:rFonts w:ascii="GibsonLight" w:eastAsia="Arial Unicode MS" w:hAnsi="GibsonLight"/>
          <w:spacing w:val="12"/>
          <w:sz w:val="22"/>
          <w:szCs w:val="22"/>
        </w:rPr>
        <w:t xml:space="preserve"> 2</w:t>
      </w:r>
      <w:r w:rsidR="008E6B1B" w:rsidRPr="00E20483">
        <w:rPr>
          <w:rFonts w:ascii="GibsonLight" w:eastAsia="Arial Unicode MS" w:hAnsi="GibsonLight"/>
          <w:spacing w:val="12"/>
          <w:sz w:val="22"/>
          <w:szCs w:val="22"/>
        </w:rPr>
        <w:t xml:space="preserve"> and articles not published in one of our priority journals</w:t>
      </w:r>
      <w:r w:rsidR="009035A7" w:rsidRPr="00E20483">
        <w:rPr>
          <w:rFonts w:ascii="GibsonLight" w:eastAsia="Arial Unicode MS" w:hAnsi="GibsonLight"/>
          <w:spacing w:val="12"/>
          <w:sz w:val="22"/>
          <w:szCs w:val="22"/>
        </w:rPr>
        <w:t>.</w:t>
      </w:r>
      <w:r w:rsidR="009F13E7" w:rsidRPr="00E20483">
        <w:rPr>
          <w:rFonts w:ascii="GibsonLight" w:eastAsia="Arial Unicode MS" w:hAnsi="GibsonLight"/>
          <w:spacing w:val="12"/>
          <w:sz w:val="22"/>
          <w:szCs w:val="22"/>
        </w:rPr>
        <w:t xml:space="preserve"> </w:t>
      </w:r>
      <w:r w:rsidR="00726EBD" w:rsidRPr="00E20483">
        <w:rPr>
          <w:rFonts w:ascii="GibsonLight" w:eastAsia="Arial Unicode MS" w:hAnsi="GibsonLight"/>
          <w:spacing w:val="12"/>
          <w:sz w:val="22"/>
          <w:szCs w:val="22"/>
        </w:rPr>
        <w:t>At this stage, data is collected for partial review articles for the following variables</w:t>
      </w:r>
      <w:r w:rsidR="007174B9" w:rsidRPr="00E20483">
        <w:rPr>
          <w:rFonts w:ascii="GibsonLight" w:eastAsia="Arial Unicode MS" w:hAnsi="GibsonLight"/>
          <w:spacing w:val="12"/>
          <w:sz w:val="22"/>
          <w:szCs w:val="22"/>
        </w:rPr>
        <w:t>:</w:t>
      </w:r>
      <w:r w:rsidR="00726EBD" w:rsidRPr="00E20483">
        <w:rPr>
          <w:rFonts w:ascii="GibsonLight" w:eastAsia="Arial Unicode MS" w:hAnsi="GibsonLight"/>
          <w:spacing w:val="12"/>
          <w:sz w:val="22"/>
          <w:szCs w:val="22"/>
        </w:rPr>
        <w:t xml:space="preserve"> cou</w:t>
      </w:r>
      <w:r w:rsidR="00940218" w:rsidRPr="00E20483">
        <w:rPr>
          <w:rFonts w:ascii="GibsonLight" w:eastAsia="Arial Unicode MS" w:hAnsi="GibsonLight"/>
          <w:spacing w:val="12"/>
          <w:sz w:val="22"/>
          <w:szCs w:val="22"/>
        </w:rPr>
        <w:t xml:space="preserve">ntry, intervention description, </w:t>
      </w:r>
      <w:r w:rsidR="00726EBD" w:rsidRPr="00E20483">
        <w:rPr>
          <w:rFonts w:ascii="GibsonLight" w:eastAsia="Arial Unicode MS" w:hAnsi="GibsonLight"/>
          <w:spacing w:val="12"/>
          <w:sz w:val="22"/>
          <w:szCs w:val="22"/>
        </w:rPr>
        <w:t xml:space="preserve">intervention type, disease description, and standardized disease classifications (i.e. ICD-10, Global Burden of Disease Cause Levels). </w:t>
      </w:r>
    </w:p>
    <w:p w14:paraId="2A679F80" w14:textId="55020A93" w:rsidR="009F13E7" w:rsidRPr="00E20483" w:rsidRDefault="00726EBD" w:rsidP="004B15D0">
      <w:pPr>
        <w:pStyle w:val="ListParagraph"/>
        <w:spacing w:after="120"/>
        <w:ind w:left="0"/>
        <w:jc w:val="both"/>
        <w:rPr>
          <w:rFonts w:ascii="GibsonLight" w:eastAsia="Arial Unicode MS" w:hAnsi="GibsonLight"/>
          <w:spacing w:val="12"/>
          <w:sz w:val="22"/>
          <w:szCs w:val="22"/>
        </w:rPr>
      </w:pPr>
      <w:r w:rsidRPr="00E20483">
        <w:rPr>
          <w:rFonts w:ascii="GibsonLight" w:eastAsia="Arial Unicode MS" w:hAnsi="GibsonLight"/>
          <w:spacing w:val="12"/>
          <w:sz w:val="22"/>
          <w:szCs w:val="22"/>
        </w:rPr>
        <w:t>Next, t</w:t>
      </w:r>
      <w:r w:rsidR="009F13E7" w:rsidRPr="00E20483">
        <w:rPr>
          <w:rFonts w:ascii="GibsonLight" w:eastAsia="Arial Unicode MS" w:hAnsi="GibsonLight"/>
          <w:spacing w:val="12"/>
          <w:sz w:val="22"/>
          <w:szCs w:val="22"/>
        </w:rPr>
        <w:t>wo readers with training in decision analysis and cost-effectiveness analysis independently review each articl</w:t>
      </w:r>
      <w:r w:rsidR="00826EAE" w:rsidRPr="00E20483">
        <w:rPr>
          <w:rFonts w:ascii="GibsonLight" w:eastAsia="Arial Unicode MS" w:hAnsi="GibsonLight"/>
          <w:spacing w:val="12"/>
          <w:sz w:val="22"/>
          <w:szCs w:val="22"/>
        </w:rPr>
        <w:t xml:space="preserve">e accepted for full </w:t>
      </w:r>
      <w:r w:rsidR="008E6B1B" w:rsidRPr="00E20483">
        <w:rPr>
          <w:rFonts w:ascii="GibsonLight" w:eastAsia="Arial Unicode MS" w:hAnsi="GibsonLight"/>
          <w:spacing w:val="12"/>
          <w:sz w:val="22"/>
          <w:szCs w:val="22"/>
        </w:rPr>
        <w:t>data collection</w:t>
      </w:r>
      <w:r w:rsidR="00826EAE" w:rsidRPr="00E20483">
        <w:rPr>
          <w:rFonts w:ascii="GibsonLight" w:eastAsia="Arial Unicode MS" w:hAnsi="GibsonLight"/>
          <w:spacing w:val="12"/>
          <w:sz w:val="22"/>
          <w:szCs w:val="22"/>
        </w:rPr>
        <w:t xml:space="preserve"> and record</w:t>
      </w:r>
      <w:r w:rsidR="009F13E7" w:rsidRPr="00E20483">
        <w:rPr>
          <w:rFonts w:ascii="GibsonLight" w:eastAsia="Arial Unicode MS" w:hAnsi="GibsonLight"/>
          <w:spacing w:val="12"/>
          <w:sz w:val="22"/>
          <w:szCs w:val="22"/>
        </w:rPr>
        <w:t xml:space="preserve"> </w:t>
      </w:r>
      <w:r w:rsidR="00826EAE" w:rsidRPr="00E20483">
        <w:rPr>
          <w:rFonts w:ascii="GibsonLight" w:eastAsia="Arial Unicode MS" w:hAnsi="GibsonLight"/>
          <w:spacing w:val="12"/>
          <w:sz w:val="22"/>
          <w:szCs w:val="22"/>
        </w:rPr>
        <w:t xml:space="preserve">relevant </w:t>
      </w:r>
      <w:r w:rsidR="009F13E7" w:rsidRPr="00E20483">
        <w:rPr>
          <w:rFonts w:ascii="GibsonLight" w:eastAsia="Arial Unicode MS" w:hAnsi="GibsonLight"/>
          <w:spacing w:val="12"/>
          <w:sz w:val="22"/>
          <w:szCs w:val="22"/>
        </w:rPr>
        <w:t>information using a standardized set of forms and instructions.</w:t>
      </w:r>
      <w:r w:rsidR="0049113F" w:rsidRPr="00E20483">
        <w:rPr>
          <w:rFonts w:ascii="GibsonLight" w:eastAsia="Arial Unicode MS" w:hAnsi="GibsonLight"/>
          <w:spacing w:val="12"/>
          <w:sz w:val="22"/>
          <w:szCs w:val="22"/>
        </w:rPr>
        <w:t xml:space="preserve"> </w:t>
      </w:r>
      <w:r w:rsidR="009F13E7" w:rsidRPr="00E20483">
        <w:rPr>
          <w:rFonts w:ascii="GibsonLight" w:eastAsia="Arial Unicode MS" w:hAnsi="GibsonLight"/>
          <w:spacing w:val="12"/>
          <w:sz w:val="22"/>
          <w:szCs w:val="22"/>
        </w:rPr>
        <w:t>The two readers convene for a consensus audit to resolve any potential discrepancies.</w:t>
      </w:r>
      <w:r w:rsidR="0049113F" w:rsidRPr="00E20483">
        <w:rPr>
          <w:rFonts w:ascii="GibsonLight" w:eastAsia="Arial Unicode MS" w:hAnsi="GibsonLight"/>
          <w:spacing w:val="12"/>
          <w:sz w:val="22"/>
          <w:szCs w:val="22"/>
        </w:rPr>
        <w:t xml:space="preserve"> </w:t>
      </w:r>
      <w:r w:rsidR="009F13E7" w:rsidRPr="00E20483">
        <w:rPr>
          <w:rFonts w:ascii="GibsonLight" w:eastAsia="Arial Unicode MS" w:hAnsi="GibsonLight"/>
          <w:spacing w:val="12"/>
          <w:sz w:val="22"/>
          <w:szCs w:val="22"/>
        </w:rPr>
        <w:t xml:space="preserve">On occasion, a third reader </w:t>
      </w:r>
      <w:r w:rsidR="001C07C8" w:rsidRPr="00E20483">
        <w:rPr>
          <w:rFonts w:ascii="GibsonLight" w:eastAsia="Arial Unicode MS" w:hAnsi="GibsonLight"/>
          <w:spacing w:val="12"/>
          <w:sz w:val="22"/>
          <w:szCs w:val="22"/>
        </w:rPr>
        <w:t>is recruited</w:t>
      </w:r>
      <w:r w:rsidR="009F13E7" w:rsidRPr="00E20483">
        <w:rPr>
          <w:rFonts w:ascii="GibsonLight" w:eastAsia="Arial Unicode MS" w:hAnsi="GibsonLight"/>
          <w:spacing w:val="12"/>
          <w:sz w:val="22"/>
          <w:szCs w:val="22"/>
        </w:rPr>
        <w:t xml:space="preserve"> to help settle disputed items.</w:t>
      </w:r>
      <w:r w:rsidR="0049113F" w:rsidRPr="00E20483">
        <w:rPr>
          <w:rFonts w:ascii="GibsonLight" w:eastAsia="Arial Unicode MS" w:hAnsi="GibsonLight"/>
          <w:spacing w:val="12"/>
          <w:sz w:val="22"/>
          <w:szCs w:val="22"/>
        </w:rPr>
        <w:t xml:space="preserve"> </w:t>
      </w:r>
      <w:r w:rsidR="009F13E7" w:rsidRPr="00E20483">
        <w:rPr>
          <w:rFonts w:ascii="GibsonLight" w:eastAsia="Arial Unicode MS" w:hAnsi="GibsonLight"/>
          <w:spacing w:val="12"/>
          <w:sz w:val="22"/>
          <w:szCs w:val="22"/>
        </w:rPr>
        <w:t>Data on over 40 variables are collected for each article.</w:t>
      </w:r>
      <w:r w:rsidR="0049113F" w:rsidRPr="00E20483">
        <w:rPr>
          <w:rFonts w:ascii="GibsonLight" w:eastAsia="Arial Unicode MS" w:hAnsi="GibsonLight"/>
          <w:spacing w:val="12"/>
          <w:sz w:val="22"/>
          <w:szCs w:val="22"/>
        </w:rPr>
        <w:t xml:space="preserve"> </w:t>
      </w:r>
      <w:r w:rsidR="008C38E2" w:rsidRPr="00E20483">
        <w:rPr>
          <w:rFonts w:ascii="GibsonLight" w:eastAsia="Arial Unicode MS" w:hAnsi="GibsonLight"/>
          <w:spacing w:val="12"/>
          <w:sz w:val="22"/>
          <w:szCs w:val="22"/>
        </w:rPr>
        <w:t>Refer</w:t>
      </w:r>
      <w:r w:rsidR="00F23967" w:rsidRPr="00E20483">
        <w:rPr>
          <w:rFonts w:ascii="GibsonLight" w:eastAsia="Arial Unicode MS" w:hAnsi="GibsonLight"/>
          <w:spacing w:val="12"/>
          <w:sz w:val="22"/>
          <w:szCs w:val="22"/>
        </w:rPr>
        <w:t xml:space="preserve"> to the glossary for a full descrip</w:t>
      </w:r>
      <w:r w:rsidR="00B266CE" w:rsidRPr="00E20483">
        <w:rPr>
          <w:rFonts w:ascii="GibsonLight" w:eastAsia="Arial Unicode MS" w:hAnsi="GibsonLight"/>
          <w:spacing w:val="12"/>
          <w:sz w:val="22"/>
          <w:szCs w:val="22"/>
        </w:rPr>
        <w:t>tion of each variable collected. The glossary is organized by the three major database sections: Methods, Ratios, and Utility Weights.</w:t>
      </w:r>
    </w:p>
    <w:p w14:paraId="645EB9BB" w14:textId="71ABF425" w:rsidR="001C07C8" w:rsidRPr="00E20483" w:rsidRDefault="009F13E7" w:rsidP="004B15D0">
      <w:pPr>
        <w:pStyle w:val="ListParagraph"/>
        <w:spacing w:after="120"/>
        <w:ind w:left="0"/>
        <w:jc w:val="both"/>
        <w:rPr>
          <w:rFonts w:ascii="GibsonLight" w:eastAsia="Arial Unicode MS" w:hAnsi="GibsonLight"/>
          <w:spacing w:val="12"/>
          <w:sz w:val="22"/>
          <w:szCs w:val="22"/>
        </w:rPr>
      </w:pPr>
      <w:r w:rsidRPr="00E20483">
        <w:rPr>
          <w:rFonts w:ascii="GibsonLight" w:eastAsia="Arial Unicode MS" w:hAnsi="GibsonLight"/>
          <w:spacing w:val="12"/>
          <w:sz w:val="22"/>
          <w:szCs w:val="22"/>
        </w:rPr>
        <w:t>Finally,</w:t>
      </w:r>
      <w:r w:rsidR="00B266CE" w:rsidRPr="00E20483">
        <w:rPr>
          <w:rFonts w:ascii="GibsonLight" w:eastAsia="Arial Unicode MS" w:hAnsi="GibsonLight"/>
          <w:spacing w:val="12"/>
          <w:sz w:val="22"/>
          <w:szCs w:val="22"/>
        </w:rPr>
        <w:t xml:space="preserve"> the CEA Registry team quality checks the data and performs a series of data cleaning steps. These include reviewing content for accuracy, converting foreign currency ratios into USD, and inflating ratios to the most current year.</w:t>
      </w:r>
      <w:r w:rsidR="005C17B2" w:rsidRPr="00E20483">
        <w:rPr>
          <w:rFonts w:ascii="GibsonLight" w:eastAsia="Arial Unicode MS" w:hAnsi="GibsonLight"/>
          <w:spacing w:val="12"/>
          <w:sz w:val="22"/>
          <w:szCs w:val="22"/>
        </w:rPr>
        <w:t xml:space="preserve"> </w:t>
      </w:r>
      <w:r w:rsidR="000043B3" w:rsidRPr="00E20483">
        <w:rPr>
          <w:rFonts w:ascii="GibsonLight" w:eastAsia="Arial Unicode MS" w:hAnsi="GibsonLight"/>
          <w:spacing w:val="12"/>
          <w:sz w:val="22"/>
          <w:szCs w:val="22"/>
        </w:rPr>
        <w:t>Once cleaned, the data are</w:t>
      </w:r>
      <w:r w:rsidRPr="00E20483">
        <w:rPr>
          <w:rFonts w:ascii="GibsonLight" w:eastAsia="Arial Unicode MS" w:hAnsi="GibsonLight"/>
          <w:spacing w:val="12"/>
          <w:sz w:val="22"/>
          <w:szCs w:val="22"/>
        </w:rPr>
        <w:t xml:space="preserve"> uploaded to the CEA Registry</w:t>
      </w:r>
      <w:r w:rsidR="000043B3" w:rsidRPr="00E20483">
        <w:rPr>
          <w:rFonts w:ascii="GibsonLight" w:eastAsia="Arial Unicode MS" w:hAnsi="GibsonLight"/>
          <w:spacing w:val="12"/>
          <w:sz w:val="22"/>
          <w:szCs w:val="22"/>
        </w:rPr>
        <w:t>.</w:t>
      </w:r>
    </w:p>
    <w:p w14:paraId="6A108C4C" w14:textId="77777777" w:rsidR="001C07C8" w:rsidRPr="004F0578" w:rsidRDefault="001C07C8">
      <w:pPr>
        <w:autoSpaceDE/>
        <w:autoSpaceDN/>
        <w:rPr>
          <w:rFonts w:ascii="GibsonLight" w:eastAsia="Arial Unicode MS" w:hAnsi="GibsonLight"/>
          <w:spacing w:val="12"/>
          <w:sz w:val="24"/>
          <w:szCs w:val="22"/>
        </w:rPr>
      </w:pPr>
      <w:r w:rsidRPr="004F0578">
        <w:rPr>
          <w:rFonts w:ascii="GibsonLight" w:eastAsia="Arial Unicode MS" w:hAnsi="GibsonLight"/>
          <w:spacing w:val="12"/>
          <w:sz w:val="24"/>
          <w:szCs w:val="22"/>
        </w:rPr>
        <w:br w:type="page"/>
      </w:r>
    </w:p>
    <w:p w14:paraId="5ED8CE18" w14:textId="487E012E" w:rsidR="009F13E7" w:rsidRPr="004F0578" w:rsidRDefault="00BF7CC8" w:rsidP="004B15D0">
      <w:pPr>
        <w:autoSpaceDE/>
        <w:autoSpaceDN/>
        <w:spacing w:after="120"/>
        <w:rPr>
          <w:rFonts w:ascii="GibsonLight" w:eastAsia="Arial Unicode MS" w:hAnsi="GibsonLight"/>
          <w:spacing w:val="12"/>
        </w:rPr>
      </w:pPr>
      <w:r w:rsidRPr="004F0578">
        <w:rPr>
          <w:rFonts w:ascii="GibsonLight" w:eastAsia="Arial Unicode MS" w:hAnsi="GibsonLight"/>
          <w:noProof/>
          <w:spacing w:val="12"/>
        </w:rPr>
        <w:lastRenderedPageBreak/>
        <mc:AlternateContent>
          <mc:Choice Requires="wps">
            <w:drawing>
              <wp:anchor distT="0" distB="0" distL="114300" distR="114300" simplePos="0" relativeHeight="251685888" behindDoc="0" locked="0" layoutInCell="1" allowOverlap="1" wp14:anchorId="7C5AC598" wp14:editId="6CF0C2B8">
                <wp:simplePos x="0" y="0"/>
                <wp:positionH relativeFrom="column">
                  <wp:posOffset>-90377</wp:posOffset>
                </wp:positionH>
                <wp:positionV relativeFrom="paragraph">
                  <wp:posOffset>-37214</wp:posOffset>
                </wp:positionV>
                <wp:extent cx="6702425" cy="255181"/>
                <wp:effectExtent l="0" t="0" r="3175" b="0"/>
                <wp:wrapNone/>
                <wp:docPr id="208" name="Text Box 208"/>
                <wp:cNvGraphicFramePr/>
                <a:graphic xmlns:a="http://schemas.openxmlformats.org/drawingml/2006/main">
                  <a:graphicData uri="http://schemas.microsoft.com/office/word/2010/wordprocessingShape">
                    <wps:wsp>
                      <wps:cNvSpPr txBox="1"/>
                      <wps:spPr>
                        <a:xfrm>
                          <a:off x="0" y="0"/>
                          <a:ext cx="6702425" cy="255181"/>
                        </a:xfrm>
                        <a:prstGeom prst="rect">
                          <a:avLst/>
                        </a:prstGeom>
                        <a:solidFill>
                          <a:prstClr val="white"/>
                        </a:solidFill>
                        <a:ln>
                          <a:noFill/>
                        </a:ln>
                        <a:effectLst/>
                      </wps:spPr>
                      <wps:txbx>
                        <w:txbxContent>
                          <w:p w14:paraId="3905DD77" w14:textId="6BDC2A89" w:rsidR="00B266CE" w:rsidRPr="009278C6" w:rsidRDefault="00B266CE" w:rsidP="00F90B78">
                            <w:pPr>
                              <w:pStyle w:val="Caption"/>
                              <w:rPr>
                                <w:rFonts w:ascii="GibsonLight" w:hAnsi="GibsonLight"/>
                                <w:b/>
                                <w:i w:val="0"/>
                                <w:color w:val="auto"/>
                                <w:spacing w:val="12"/>
                                <w:sz w:val="24"/>
                                <w:szCs w:val="24"/>
                              </w:rPr>
                            </w:pPr>
                            <w:bookmarkStart w:id="8" w:name="_Ref81317264"/>
                            <w:r w:rsidRPr="009278C6">
                              <w:rPr>
                                <w:rFonts w:ascii="GibsonLight" w:hAnsi="GibsonLight"/>
                                <w:b/>
                                <w:i w:val="0"/>
                                <w:color w:val="auto"/>
                                <w:spacing w:val="12"/>
                                <w:sz w:val="24"/>
                                <w:szCs w:val="24"/>
                              </w:rPr>
                              <w:t xml:space="preserve">Figure </w:t>
                            </w:r>
                            <w:r w:rsidRPr="009278C6">
                              <w:rPr>
                                <w:rFonts w:ascii="GibsonLight" w:hAnsi="GibsonLight"/>
                                <w:b/>
                                <w:i w:val="0"/>
                                <w:color w:val="auto"/>
                                <w:spacing w:val="12"/>
                                <w:sz w:val="24"/>
                                <w:szCs w:val="24"/>
                              </w:rPr>
                              <w:fldChar w:fldCharType="begin"/>
                            </w:r>
                            <w:r w:rsidRPr="009278C6">
                              <w:rPr>
                                <w:rFonts w:ascii="GibsonLight" w:hAnsi="GibsonLight"/>
                                <w:b/>
                                <w:i w:val="0"/>
                                <w:color w:val="auto"/>
                                <w:spacing w:val="12"/>
                                <w:sz w:val="24"/>
                                <w:szCs w:val="24"/>
                              </w:rPr>
                              <w:instrText xml:space="preserve"> SEQ Figure \* ARABIC </w:instrText>
                            </w:r>
                            <w:r w:rsidRPr="009278C6">
                              <w:rPr>
                                <w:rFonts w:ascii="GibsonLight" w:hAnsi="GibsonLight"/>
                                <w:b/>
                                <w:i w:val="0"/>
                                <w:color w:val="auto"/>
                                <w:spacing w:val="12"/>
                                <w:sz w:val="24"/>
                                <w:szCs w:val="24"/>
                              </w:rPr>
                              <w:fldChar w:fldCharType="separate"/>
                            </w:r>
                            <w:r w:rsidRPr="009278C6">
                              <w:rPr>
                                <w:rFonts w:ascii="GibsonLight" w:hAnsi="GibsonLight"/>
                                <w:b/>
                                <w:i w:val="0"/>
                                <w:noProof/>
                                <w:color w:val="auto"/>
                                <w:spacing w:val="12"/>
                                <w:sz w:val="24"/>
                                <w:szCs w:val="24"/>
                              </w:rPr>
                              <w:t>2</w:t>
                            </w:r>
                            <w:r w:rsidRPr="009278C6">
                              <w:rPr>
                                <w:rFonts w:ascii="GibsonLight" w:hAnsi="GibsonLight"/>
                                <w:b/>
                                <w:i w:val="0"/>
                                <w:color w:val="auto"/>
                                <w:spacing w:val="12"/>
                                <w:sz w:val="24"/>
                                <w:szCs w:val="24"/>
                              </w:rPr>
                              <w:fldChar w:fldCharType="end"/>
                            </w:r>
                            <w:bookmarkEnd w:id="8"/>
                            <w:r w:rsidRPr="009278C6">
                              <w:rPr>
                                <w:rFonts w:ascii="GibsonLight" w:hAnsi="GibsonLight"/>
                                <w:b/>
                                <w:i w:val="0"/>
                                <w:color w:val="auto"/>
                                <w:spacing w:val="12"/>
                                <w:sz w:val="24"/>
                                <w:szCs w:val="24"/>
                              </w:rPr>
                              <w:t>. Review Protocol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AC598" id="Text Box 208" o:spid="_x0000_s1044" type="#_x0000_t202" style="position:absolute;margin-left:-7.1pt;margin-top:-2.95pt;width:527.75pt;height:20.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" stroked="f">
                <v:textbox inset="0,0,0,0">
                  <w:txbxContent>
                    <w:p w14:paraId="3905DD77" w14:textId="6BDC2A89" w:rsidR="00B266CE" w:rsidRPr="009278C6" w:rsidRDefault="00B266CE" w:rsidP="00F90B78">
                      <w:pPr>
                        <w:pStyle w:val="Caption"/>
                        <w:rPr>
                          <w:rFonts w:ascii="GibsonLight" w:hAnsi="GibsonLight"/>
                          <w:b/>
                          <w:i w:val="0"/>
                          <w:color w:val="auto"/>
                          <w:spacing w:val="12"/>
                          <w:sz w:val="24"/>
                          <w:szCs w:val="24"/>
                        </w:rPr>
                      </w:pPr>
                      <w:bookmarkStart w:id="10" w:name="_Ref81317264"/>
                      <w:r w:rsidRPr="009278C6">
                        <w:rPr>
                          <w:rFonts w:ascii="GibsonLight" w:hAnsi="GibsonLight"/>
                          <w:b/>
                          <w:i w:val="0"/>
                          <w:color w:val="auto"/>
                          <w:spacing w:val="12"/>
                          <w:sz w:val="24"/>
                          <w:szCs w:val="24"/>
                        </w:rPr>
                        <w:t xml:space="preserve">Figure </w:t>
                      </w:r>
                      <w:r w:rsidRPr="009278C6">
                        <w:rPr>
                          <w:rFonts w:ascii="GibsonLight" w:hAnsi="GibsonLight"/>
                          <w:b/>
                          <w:i w:val="0"/>
                          <w:color w:val="auto"/>
                          <w:spacing w:val="12"/>
                          <w:sz w:val="24"/>
                          <w:szCs w:val="24"/>
                        </w:rPr>
                        <w:fldChar w:fldCharType="begin"/>
                      </w:r>
                      <w:r w:rsidRPr="009278C6">
                        <w:rPr>
                          <w:rFonts w:ascii="GibsonLight" w:hAnsi="GibsonLight"/>
                          <w:b/>
                          <w:i w:val="0"/>
                          <w:color w:val="auto"/>
                          <w:spacing w:val="12"/>
                          <w:sz w:val="24"/>
                          <w:szCs w:val="24"/>
                        </w:rPr>
                        <w:instrText xml:space="preserve"> SEQ Figure \* ARABIC </w:instrText>
                      </w:r>
                      <w:r w:rsidRPr="009278C6">
                        <w:rPr>
                          <w:rFonts w:ascii="GibsonLight" w:hAnsi="GibsonLight"/>
                          <w:b/>
                          <w:i w:val="0"/>
                          <w:color w:val="auto"/>
                          <w:spacing w:val="12"/>
                          <w:sz w:val="24"/>
                          <w:szCs w:val="24"/>
                        </w:rPr>
                        <w:fldChar w:fldCharType="separate"/>
                      </w:r>
                      <w:r w:rsidRPr="009278C6">
                        <w:rPr>
                          <w:rFonts w:ascii="GibsonLight" w:hAnsi="GibsonLight"/>
                          <w:b/>
                          <w:i w:val="0"/>
                          <w:noProof/>
                          <w:color w:val="auto"/>
                          <w:spacing w:val="12"/>
                          <w:sz w:val="24"/>
                          <w:szCs w:val="24"/>
                        </w:rPr>
                        <w:t>2</w:t>
                      </w:r>
                      <w:r w:rsidRPr="009278C6">
                        <w:rPr>
                          <w:rFonts w:ascii="GibsonLight" w:hAnsi="GibsonLight"/>
                          <w:b/>
                          <w:i w:val="0"/>
                          <w:color w:val="auto"/>
                          <w:spacing w:val="12"/>
                          <w:sz w:val="24"/>
                          <w:szCs w:val="24"/>
                        </w:rPr>
                        <w:fldChar w:fldCharType="end"/>
                      </w:r>
                      <w:bookmarkEnd w:id="10"/>
                      <w:r w:rsidRPr="009278C6">
                        <w:rPr>
                          <w:rFonts w:ascii="GibsonLight" w:hAnsi="GibsonLight"/>
                          <w:b/>
                          <w:i w:val="0"/>
                          <w:color w:val="auto"/>
                          <w:spacing w:val="12"/>
                          <w:sz w:val="24"/>
                          <w:szCs w:val="24"/>
                        </w:rPr>
                        <w:t>. Review Protocol</w:t>
                      </w:r>
                    </w:p>
                  </w:txbxContent>
                </v:textbox>
              </v:shape>
            </w:pict>
          </mc:Fallback>
        </mc:AlternateContent>
      </w:r>
      <w:bookmarkEnd w:id="2"/>
      <w:bookmarkEnd w:id="3"/>
      <w:bookmarkEnd w:id="1"/>
      <w:bookmarkEnd w:id="0"/>
    </w:p>
    <w:p w14:paraId="1F4483B7" w14:textId="1F1E4704" w:rsidR="001C07C8" w:rsidRPr="004F0578" w:rsidRDefault="001C07C8" w:rsidP="001C07C8">
      <w:pPr>
        <w:autoSpaceDE/>
        <w:autoSpaceDN/>
        <w:rPr>
          <w:rFonts w:ascii="GibsonLight" w:eastAsia="Arial Unicode MS" w:hAnsi="GibsonLight"/>
          <w:b/>
          <w:spacing w:val="12"/>
          <w:sz w:val="22"/>
          <w:szCs w:val="22"/>
        </w:rPr>
      </w:pPr>
      <w:r w:rsidRPr="004F0578">
        <w:rPr>
          <w:rFonts w:ascii="GibsonLight" w:eastAsia="Arial Unicode MS" w:hAnsi="GibsonLight"/>
          <w:b/>
          <w:spacing w:val="12"/>
          <w:sz w:val="22"/>
          <w:szCs w:val="22"/>
        </w:rPr>
        <w:br w:type="page"/>
      </w:r>
      <w:r w:rsidRPr="004F0578">
        <w:rPr>
          <w:rFonts w:ascii="GibsonLight" w:eastAsia="Arial Unicode MS" w:hAnsi="GibsonLight"/>
          <w:b/>
          <w:noProof/>
          <w:spacing w:val="12"/>
        </w:rPr>
        <mc:AlternateContent>
          <mc:Choice Requires="wps">
            <w:drawing>
              <wp:anchor distT="45720" distB="45720" distL="114300" distR="114300" simplePos="0" relativeHeight="251683840" behindDoc="0" locked="0" layoutInCell="1" allowOverlap="1" wp14:anchorId="00AB09A2" wp14:editId="665B3C50">
                <wp:simplePos x="0" y="0"/>
                <wp:positionH relativeFrom="column">
                  <wp:posOffset>5848</wp:posOffset>
                </wp:positionH>
                <wp:positionV relativeFrom="paragraph">
                  <wp:posOffset>6729228</wp:posOffset>
                </wp:positionV>
                <wp:extent cx="2146300" cy="1404620"/>
                <wp:effectExtent l="0" t="0" r="0" b="127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404620"/>
                        </a:xfrm>
                        <a:prstGeom prst="rect">
                          <a:avLst/>
                        </a:prstGeom>
                        <a:noFill/>
                        <a:ln w="9525">
                          <a:noFill/>
                          <a:miter lim="800000"/>
                          <a:headEnd/>
                          <a:tailEnd/>
                        </a:ln>
                      </wps:spPr>
                      <wps:txbx>
                        <w:txbxContent>
                          <w:p w14:paraId="32361A6B" w14:textId="1EC8C90C" w:rsidR="00B266CE" w:rsidRPr="001C07C8" w:rsidRDefault="00B266CE" w:rsidP="001C07C8">
                            <w:pPr>
                              <w:rPr>
                                <w:rFonts w:ascii="GibsonLight" w:hAnsi="GibsonLight"/>
                                <w:spacing w:val="16"/>
                                <w:sz w:val="24"/>
                              </w:rPr>
                            </w:pPr>
                            <w:r w:rsidRPr="001C07C8">
                              <w:rPr>
                                <w:rFonts w:ascii="GibsonLight" w:hAnsi="GibsonLight"/>
                                <w:spacing w:val="16"/>
                                <w:sz w:val="22"/>
                              </w:rPr>
                              <w:t>Data is uploaded to the CEA Registry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B09A2" id="Text Box 2" o:spid="_x0000_s1045" type="#_x0000_t202" style="position:absolute;margin-left:.45pt;margin-top:529.85pt;width:169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" filled="f" stroked="f">
                <v:textbox style="mso-fit-shape-to-text:t">
                  <w:txbxContent>
                    <w:p w14:paraId="32361A6B" w14:textId="1EC8C90C" w:rsidR="00B266CE" w:rsidRPr="001C07C8" w:rsidRDefault="00B266CE" w:rsidP="001C07C8">
                      <w:pPr>
                        <w:rPr>
                          <w:rFonts w:ascii="GibsonLight" w:hAnsi="GibsonLight"/>
                          <w:spacing w:val="16"/>
                          <w:sz w:val="24"/>
                        </w:rPr>
                      </w:pPr>
                      <w:r w:rsidRPr="001C07C8">
                        <w:rPr>
                          <w:rFonts w:ascii="GibsonLight" w:hAnsi="GibsonLight"/>
                          <w:spacing w:val="16"/>
                          <w:sz w:val="22"/>
                        </w:rPr>
                        <w:t>Data is uploaded to the CEA Registry</w:t>
                      </w:r>
                    </w:p>
                  </w:txbxContent>
                </v:textbox>
              </v:shape>
            </w:pict>
          </mc:Fallback>
        </mc:AlternateContent>
      </w:r>
      <w:r w:rsidRPr="004F0578">
        <w:rPr>
          <w:rFonts w:ascii="GibsonLight" w:eastAsia="Arial Unicode MS" w:hAnsi="GibsonLight"/>
          <w:b/>
          <w:noProof/>
          <w:spacing w:val="12"/>
        </w:rPr>
        <mc:AlternateContent>
          <mc:Choice Requires="wpg">
            <w:drawing>
              <wp:anchor distT="0" distB="0" distL="114300" distR="114300" simplePos="0" relativeHeight="251706368" behindDoc="0" locked="0" layoutInCell="1" allowOverlap="1" wp14:anchorId="1DF2DE35" wp14:editId="3EB517B2">
                <wp:simplePos x="914400" y="914400"/>
                <wp:positionH relativeFrom="margin">
                  <wp:align>center</wp:align>
                </wp:positionH>
                <wp:positionV relativeFrom="margin">
                  <wp:align>center</wp:align>
                </wp:positionV>
                <wp:extent cx="6577965" cy="7744460"/>
                <wp:effectExtent l="0" t="0" r="0" b="0"/>
                <wp:wrapSquare wrapText="bothSides"/>
                <wp:docPr id="207" name="Group 207"/>
                <wp:cNvGraphicFramePr/>
                <a:graphic xmlns:a="http://schemas.openxmlformats.org/drawingml/2006/main">
                  <a:graphicData uri="http://schemas.microsoft.com/office/word/2010/wordprocessingGroup">
                    <wpg:wgp>
                      <wpg:cNvGrpSpPr/>
                      <wpg:grpSpPr>
                        <a:xfrm>
                          <a:off x="0" y="0"/>
                          <a:ext cx="6577965" cy="7744460"/>
                          <a:chOff x="42531" y="584790"/>
                          <a:chExt cx="6578054" cy="7744460"/>
                        </a:xfrm>
                      </wpg:grpSpPr>
                      <wpg:graphicFrame>
                        <wpg:cNvPr id="201" name="Diagram 201"/>
                        <wpg:cNvFrPr/>
                        <wpg:xfrm>
                          <a:off x="1386208" y="584790"/>
                          <a:ext cx="3863975" cy="7744460"/>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217" name="Text Box 2"/>
                        <wps:cNvSpPr txBox="1">
                          <a:spLocks noChangeArrowheads="1"/>
                        </wps:cNvSpPr>
                        <wps:spPr bwMode="auto">
                          <a:xfrm>
                            <a:off x="4545380" y="1130473"/>
                            <a:ext cx="1892322" cy="636904"/>
                          </a:xfrm>
                          <a:prstGeom prst="rect">
                            <a:avLst/>
                          </a:prstGeom>
                          <a:noFill/>
                          <a:ln w="9525">
                            <a:noFill/>
                            <a:miter lim="800000"/>
                            <a:headEnd/>
                            <a:tailEnd/>
                          </a:ln>
                        </wps:spPr>
                        <wps:txbx>
                          <w:txbxContent>
                            <w:p w14:paraId="32C34138" w14:textId="39316458" w:rsidR="00B266CE" w:rsidRPr="004F0578" w:rsidRDefault="00B266CE" w:rsidP="003B7388">
                              <w:pPr>
                                <w:rPr>
                                  <w:rFonts w:ascii="GibsonLight" w:hAnsi="GibsonLight"/>
                                  <w:spacing w:val="14"/>
                                  <w:sz w:val="22"/>
                                  <w:szCs w:val="22"/>
                                </w:rPr>
                              </w:pPr>
                              <w:r w:rsidRPr="004F0578">
                                <w:rPr>
                                  <w:rFonts w:ascii="GibsonLight" w:hAnsi="GibsonLight"/>
                                  <w:spacing w:val="14"/>
                                  <w:sz w:val="22"/>
                                  <w:szCs w:val="22"/>
                                </w:rPr>
                                <w:t>Multiple databases searched with pre-defined keywords</w:t>
                              </w:r>
                            </w:p>
                          </w:txbxContent>
                        </wps:txbx>
                        <wps:bodyPr rot="0" vert="horz" wrap="square" lIns="91440" tIns="45720" rIns="91440" bIns="45720" anchor="t" anchorCtr="0">
                          <a:spAutoFit/>
                        </wps:bodyPr>
                      </wps:wsp>
                      <wps:wsp>
                        <wps:cNvPr id="202" name="Text Box 2"/>
                        <wps:cNvSpPr txBox="1">
                          <a:spLocks noChangeArrowheads="1"/>
                        </wps:cNvSpPr>
                        <wps:spPr bwMode="auto">
                          <a:xfrm>
                            <a:off x="180384" y="2222852"/>
                            <a:ext cx="1963420" cy="1296524"/>
                          </a:xfrm>
                          <a:prstGeom prst="rect">
                            <a:avLst/>
                          </a:prstGeom>
                          <a:noFill/>
                          <a:ln w="9525">
                            <a:noFill/>
                            <a:miter lim="800000"/>
                            <a:headEnd/>
                            <a:tailEnd/>
                          </a:ln>
                        </wps:spPr>
                        <wps:txbx>
                          <w:txbxContent>
                            <w:p w14:paraId="07654966" w14:textId="5418F63B" w:rsidR="00B266CE" w:rsidRPr="004F0578" w:rsidRDefault="00B266CE" w:rsidP="00FB3A8C">
                              <w:pPr>
                                <w:pStyle w:val="ListParagraph"/>
                                <w:numPr>
                                  <w:ilvl w:val="0"/>
                                  <w:numId w:val="10"/>
                                </w:numPr>
                                <w:rPr>
                                  <w:rFonts w:ascii="GibsonLight" w:hAnsi="GibsonLight"/>
                                  <w:spacing w:val="14"/>
                                  <w:sz w:val="22"/>
                                  <w:szCs w:val="22"/>
                                </w:rPr>
                              </w:pPr>
                              <w:r w:rsidRPr="004F0578">
                                <w:rPr>
                                  <w:rFonts w:ascii="GibsonLight" w:hAnsi="GibsonLight"/>
                                  <w:spacing w:val="14"/>
                                  <w:sz w:val="22"/>
                                  <w:szCs w:val="22"/>
                                </w:rPr>
                                <w:t>CEA Registry team screens abstracts for an original cost-utility estimate</w:t>
                              </w:r>
                            </w:p>
                            <w:p w14:paraId="6126426B" w14:textId="56097E58" w:rsidR="00B266CE" w:rsidRPr="004F0578" w:rsidRDefault="00B266CE" w:rsidP="00FB3A8C">
                              <w:pPr>
                                <w:pStyle w:val="ListParagraph"/>
                                <w:numPr>
                                  <w:ilvl w:val="0"/>
                                  <w:numId w:val="10"/>
                                </w:numPr>
                                <w:rPr>
                                  <w:rFonts w:ascii="GibsonLight" w:hAnsi="GibsonLight"/>
                                  <w:spacing w:val="14"/>
                                  <w:sz w:val="22"/>
                                  <w:szCs w:val="22"/>
                                </w:rPr>
                              </w:pPr>
                              <w:r w:rsidRPr="004F0578">
                                <w:rPr>
                                  <w:rFonts w:ascii="GibsonLight" w:hAnsi="GibsonLight"/>
                                  <w:spacing w:val="14"/>
                                  <w:sz w:val="22"/>
                                  <w:szCs w:val="22"/>
                                </w:rPr>
                                <w:t>Data for partial review articles are collected</w:t>
                              </w:r>
                            </w:p>
                          </w:txbxContent>
                        </wps:txbx>
                        <wps:bodyPr rot="0" vert="horz" wrap="square" lIns="91440" tIns="45720" rIns="91440" bIns="45720" anchor="t" anchorCtr="0">
                          <a:noAutofit/>
                        </wps:bodyPr>
                      </wps:wsp>
                      <wps:wsp>
                        <wps:cNvPr id="203" name="Text Box 2"/>
                        <wps:cNvSpPr txBox="1">
                          <a:spLocks noChangeArrowheads="1"/>
                        </wps:cNvSpPr>
                        <wps:spPr bwMode="auto">
                          <a:xfrm>
                            <a:off x="4545380" y="3391694"/>
                            <a:ext cx="2075205" cy="1530349"/>
                          </a:xfrm>
                          <a:prstGeom prst="rect">
                            <a:avLst/>
                          </a:prstGeom>
                          <a:noFill/>
                          <a:ln w="9525">
                            <a:noFill/>
                            <a:miter lim="800000"/>
                            <a:headEnd/>
                            <a:tailEnd/>
                          </a:ln>
                        </wps:spPr>
                        <wps:txbx>
                          <w:txbxContent>
                            <w:p w14:paraId="643F35C8" w14:textId="0BC8E0D3" w:rsidR="00B266CE" w:rsidRPr="004F0578" w:rsidRDefault="00B266CE" w:rsidP="003B7388">
                              <w:pPr>
                                <w:rPr>
                                  <w:rFonts w:ascii="GibsonLight" w:hAnsi="GibsonLight"/>
                                  <w:b/>
                                  <w:color w:val="C00000"/>
                                  <w:spacing w:val="14"/>
                                  <w:sz w:val="22"/>
                                  <w:szCs w:val="22"/>
                                </w:rPr>
                              </w:pPr>
                              <w:r w:rsidRPr="004F0578">
                                <w:rPr>
                                  <w:rFonts w:ascii="GibsonLight" w:hAnsi="GibsonLight"/>
                                  <w:b/>
                                  <w:color w:val="C00000"/>
                                  <w:spacing w:val="14"/>
                                  <w:sz w:val="22"/>
                                  <w:szCs w:val="22"/>
                                </w:rPr>
                                <w:t>Articles Rejected:</w:t>
                              </w:r>
                            </w:p>
                            <w:p w14:paraId="67FF1810" w14:textId="77777777" w:rsidR="00B266CE" w:rsidRPr="004F0578" w:rsidRDefault="00B266CE" w:rsidP="00FB3A8C">
                              <w:pPr>
                                <w:pStyle w:val="ListParagraph"/>
                                <w:numPr>
                                  <w:ilvl w:val="0"/>
                                  <w:numId w:val="11"/>
                                </w:numPr>
                                <w:ind w:hanging="270"/>
                                <w:rPr>
                                  <w:rFonts w:ascii="GibsonLight" w:hAnsi="GibsonLight"/>
                                  <w:color w:val="C00000"/>
                                  <w:spacing w:val="14"/>
                                  <w:sz w:val="22"/>
                                  <w:szCs w:val="22"/>
                                </w:rPr>
                              </w:pPr>
                              <w:r w:rsidRPr="004F0578">
                                <w:rPr>
                                  <w:rFonts w:ascii="GibsonLight" w:hAnsi="GibsonLight"/>
                                  <w:color w:val="C00000"/>
                                  <w:spacing w:val="14"/>
                                  <w:sz w:val="22"/>
                                  <w:szCs w:val="22"/>
                                </w:rPr>
                                <w:t>Reviews &amp; Editorials</w:t>
                              </w:r>
                            </w:p>
                            <w:p w14:paraId="404B18EC" w14:textId="695A5B88" w:rsidR="00B266CE" w:rsidRPr="004F0578" w:rsidRDefault="00B266CE" w:rsidP="00FB3A8C">
                              <w:pPr>
                                <w:pStyle w:val="ListParagraph"/>
                                <w:numPr>
                                  <w:ilvl w:val="0"/>
                                  <w:numId w:val="11"/>
                                </w:numPr>
                                <w:ind w:hanging="270"/>
                                <w:rPr>
                                  <w:rFonts w:ascii="GibsonLight" w:hAnsi="GibsonLight"/>
                                  <w:color w:val="C00000"/>
                                  <w:spacing w:val="14"/>
                                  <w:sz w:val="22"/>
                                  <w:szCs w:val="22"/>
                                </w:rPr>
                              </w:pPr>
                              <w:r w:rsidRPr="004F0578">
                                <w:rPr>
                                  <w:rFonts w:ascii="GibsonLight" w:hAnsi="GibsonLight"/>
                                  <w:color w:val="C00000"/>
                                  <w:spacing w:val="14"/>
                                  <w:sz w:val="22"/>
                                  <w:szCs w:val="22"/>
                                </w:rPr>
                                <w:t>Methodological articles</w:t>
                              </w:r>
                            </w:p>
                            <w:p w14:paraId="1C07D9EC" w14:textId="77777777" w:rsidR="00B266CE" w:rsidRPr="004F0578" w:rsidRDefault="00B266CE" w:rsidP="00FB3A8C">
                              <w:pPr>
                                <w:pStyle w:val="ListParagraph"/>
                                <w:numPr>
                                  <w:ilvl w:val="0"/>
                                  <w:numId w:val="11"/>
                                </w:numPr>
                                <w:ind w:hanging="270"/>
                                <w:rPr>
                                  <w:rFonts w:ascii="GibsonLight" w:hAnsi="GibsonLight"/>
                                  <w:color w:val="C00000"/>
                                  <w:spacing w:val="14"/>
                                  <w:sz w:val="22"/>
                                  <w:szCs w:val="22"/>
                                </w:rPr>
                              </w:pPr>
                              <w:r w:rsidRPr="004F0578">
                                <w:rPr>
                                  <w:rFonts w:ascii="GibsonLight" w:hAnsi="GibsonLight"/>
                                  <w:color w:val="C00000"/>
                                  <w:spacing w:val="14"/>
                                  <w:sz w:val="22"/>
                                  <w:szCs w:val="22"/>
                                </w:rPr>
                                <w:t>Non-English language articles</w:t>
                              </w:r>
                            </w:p>
                            <w:p w14:paraId="50338134" w14:textId="688DC5BE" w:rsidR="00B266CE" w:rsidRPr="004F0578" w:rsidRDefault="00B266CE" w:rsidP="00FB3A8C">
                              <w:pPr>
                                <w:pStyle w:val="ListParagraph"/>
                                <w:numPr>
                                  <w:ilvl w:val="0"/>
                                  <w:numId w:val="11"/>
                                </w:numPr>
                                <w:ind w:hanging="270"/>
                                <w:rPr>
                                  <w:rFonts w:ascii="GibsonLight" w:hAnsi="GibsonLight"/>
                                  <w:color w:val="C00000"/>
                                  <w:spacing w:val="14"/>
                                  <w:sz w:val="22"/>
                                  <w:szCs w:val="22"/>
                                </w:rPr>
                              </w:pPr>
                              <w:r w:rsidRPr="004F0578">
                                <w:rPr>
                                  <w:rFonts w:ascii="GibsonLight" w:hAnsi="GibsonLight"/>
                                  <w:color w:val="C00000"/>
                                  <w:spacing w:val="14"/>
                                  <w:sz w:val="22"/>
                                  <w:szCs w:val="22"/>
                                </w:rPr>
                                <w:t>Health effects not measured in QALYs or DALYs</w:t>
                              </w:r>
                            </w:p>
                          </w:txbxContent>
                        </wps:txbx>
                        <wps:bodyPr rot="0" vert="horz" wrap="square" lIns="91440" tIns="45720" rIns="91440" bIns="45720" anchor="t" anchorCtr="0">
                          <a:spAutoFit/>
                        </wps:bodyPr>
                      </wps:wsp>
                      <wps:wsp>
                        <wps:cNvPr id="204" name="Text Box 2"/>
                        <wps:cNvSpPr txBox="1">
                          <a:spLocks noChangeArrowheads="1"/>
                        </wps:cNvSpPr>
                        <wps:spPr bwMode="auto">
                          <a:xfrm>
                            <a:off x="42531" y="4531040"/>
                            <a:ext cx="2077720" cy="1710271"/>
                          </a:xfrm>
                          <a:prstGeom prst="rect">
                            <a:avLst/>
                          </a:prstGeom>
                          <a:noFill/>
                          <a:ln w="9525">
                            <a:noFill/>
                            <a:miter lim="800000"/>
                            <a:headEnd/>
                            <a:tailEnd/>
                          </a:ln>
                        </wps:spPr>
                        <wps:txbx>
                          <w:txbxContent>
                            <w:p w14:paraId="1F05D5FD" w14:textId="5727C681" w:rsidR="00B266CE" w:rsidRPr="004F0578" w:rsidRDefault="00B266CE" w:rsidP="00FB3A8C">
                              <w:pPr>
                                <w:pStyle w:val="ListParagraph"/>
                                <w:numPr>
                                  <w:ilvl w:val="0"/>
                                  <w:numId w:val="12"/>
                                </w:numPr>
                                <w:rPr>
                                  <w:rFonts w:ascii="GibsonLight" w:hAnsi="GibsonLight"/>
                                  <w:spacing w:val="14"/>
                                  <w:sz w:val="22"/>
                                  <w:szCs w:val="22"/>
                                </w:rPr>
                              </w:pPr>
                              <w:r w:rsidRPr="004F0578">
                                <w:rPr>
                                  <w:rFonts w:ascii="GibsonLight" w:hAnsi="GibsonLight"/>
                                  <w:spacing w:val="14"/>
                                  <w:sz w:val="22"/>
                                  <w:szCs w:val="22"/>
                                </w:rPr>
                                <w:t>Trained reviewers read and collect data on methodology, cost-effectiveness ratios, and utility and disability weights</w:t>
                              </w:r>
                            </w:p>
                            <w:p w14:paraId="30F9AAA4" w14:textId="35799273" w:rsidR="00B266CE" w:rsidRPr="004F0578" w:rsidRDefault="00B266CE" w:rsidP="00FB3A8C">
                              <w:pPr>
                                <w:pStyle w:val="ListParagraph"/>
                                <w:numPr>
                                  <w:ilvl w:val="0"/>
                                  <w:numId w:val="12"/>
                                </w:numPr>
                                <w:rPr>
                                  <w:rFonts w:ascii="GibsonLight" w:hAnsi="GibsonLight"/>
                                  <w:spacing w:val="14"/>
                                  <w:sz w:val="22"/>
                                  <w:szCs w:val="22"/>
                                </w:rPr>
                              </w:pPr>
                              <w:r w:rsidRPr="004F0578">
                                <w:rPr>
                                  <w:rFonts w:ascii="GibsonLight" w:hAnsi="GibsonLight"/>
                                  <w:spacing w:val="14"/>
                                  <w:sz w:val="22"/>
                                  <w:szCs w:val="22"/>
                                </w:rPr>
                                <w:t>Reviewers consensus with a partner to resolve discrepancies</w:t>
                              </w:r>
                            </w:p>
                          </w:txbxContent>
                        </wps:txbx>
                        <wps:bodyPr rot="0" vert="horz" wrap="square" lIns="91440" tIns="45720" rIns="91440" bIns="45720" anchor="t" anchorCtr="0">
                          <a:noAutofit/>
                        </wps:bodyPr>
                      </wps:wsp>
                      <wps:wsp>
                        <wps:cNvPr id="205" name="Text Box 2"/>
                        <wps:cNvSpPr txBox="1">
                          <a:spLocks noChangeArrowheads="1"/>
                        </wps:cNvSpPr>
                        <wps:spPr bwMode="auto">
                          <a:xfrm>
                            <a:off x="4470779" y="6041882"/>
                            <a:ext cx="2082825" cy="458469"/>
                          </a:xfrm>
                          <a:prstGeom prst="rect">
                            <a:avLst/>
                          </a:prstGeom>
                          <a:noFill/>
                          <a:ln w="9525">
                            <a:noFill/>
                            <a:miter lim="800000"/>
                            <a:headEnd/>
                            <a:tailEnd/>
                          </a:ln>
                        </wps:spPr>
                        <wps:txbx>
                          <w:txbxContent>
                            <w:p w14:paraId="1BB88A2C" w14:textId="42059826" w:rsidR="00B266CE" w:rsidRPr="004F0578" w:rsidRDefault="00B266CE">
                              <w:pPr>
                                <w:rPr>
                                  <w:rFonts w:ascii="GibsonLight" w:hAnsi="GibsonLight"/>
                                  <w:spacing w:val="14"/>
                                  <w:sz w:val="22"/>
                                  <w:szCs w:val="22"/>
                                </w:rPr>
                              </w:pPr>
                              <w:r w:rsidRPr="004F0578">
                                <w:rPr>
                                  <w:rFonts w:ascii="GibsonLight" w:hAnsi="GibsonLight"/>
                                  <w:spacing w:val="14"/>
                                  <w:sz w:val="22"/>
                                  <w:szCs w:val="22"/>
                                </w:rPr>
                                <w:t>Data is cleaned and quality checked</w:t>
                              </w:r>
                            </w:p>
                          </w:txbxContent>
                        </wps:txbx>
                        <wps:bodyPr rot="0" vert="horz" wrap="square" lIns="91440" tIns="45720" rIns="91440" bIns="45720" anchor="t" anchorCtr="0">
                          <a:spAutoFit/>
                        </wps:bodyPr>
                      </wps:wsp>
                    </wpg:wgp>
                  </a:graphicData>
                </a:graphic>
              </wp:anchor>
            </w:drawing>
          </mc:Choice>
          <mc:Fallback>
            <w:pict>
              <v:group w14:anchorId="1DF2DE35" id="Group 207" o:spid="_x0000_s1046" style="position:absolute;margin-left:0;margin-top:0;width:517.95pt;height:609.8pt;z-index:251706368;mso-position-horizontal:center;mso-position-horizontal-relative:margin;mso-position-vertical:center;mso-position-vertical-relative:margin" coordorigin="425,5847" coordsize="65780,7744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01" o:spid="_x0000_s1047" type="#_x0000_t75" style="position:absolute;left:21334;top:6213;width:23836;height:765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">
                  <v:imagedata r:id="rId20" o:title=""/>
                  <o:lock v:ext="edit" aspectratio="f"/>
                </v:shape>
                <v:shape id="_x0000_s1048" type="#_x0000_t202" style="position:absolute;left:45453;top:11304;width:18924;height:6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32C34138" w14:textId="39316458" w:rsidR="00B266CE" w:rsidRPr="004F0578" w:rsidRDefault="00B266CE" w:rsidP="003B7388">
                        <w:pPr>
                          <w:rPr>
                            <w:rFonts w:ascii="GibsonLight" w:hAnsi="GibsonLight"/>
                            <w:spacing w:val="14"/>
                            <w:sz w:val="22"/>
                            <w:szCs w:val="22"/>
                          </w:rPr>
                        </w:pPr>
                        <w:r w:rsidRPr="004F0578">
                          <w:rPr>
                            <w:rFonts w:ascii="GibsonLight" w:hAnsi="GibsonLight"/>
                            <w:spacing w:val="14"/>
                            <w:sz w:val="22"/>
                            <w:szCs w:val="22"/>
                          </w:rPr>
                          <w:t>Multiple databases searched with pre-defined keywords</w:t>
                        </w:r>
                      </w:p>
                    </w:txbxContent>
                  </v:textbox>
                </v:shape>
                <v:shape id="_x0000_s1049" type="#_x0000_t202" style="position:absolute;left:1803;top:22228;width:19635;height:1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14:paraId="07654966" w14:textId="5418F63B" w:rsidR="00B266CE" w:rsidRPr="004F0578" w:rsidRDefault="00B266CE" w:rsidP="00FB3A8C">
                        <w:pPr>
                          <w:pStyle w:val="ListParagraph"/>
                          <w:numPr>
                            <w:ilvl w:val="0"/>
                            <w:numId w:val="10"/>
                          </w:numPr>
                          <w:rPr>
                            <w:rFonts w:ascii="GibsonLight" w:hAnsi="GibsonLight"/>
                            <w:spacing w:val="14"/>
                            <w:sz w:val="22"/>
                            <w:szCs w:val="22"/>
                          </w:rPr>
                        </w:pPr>
                        <w:r w:rsidRPr="004F0578">
                          <w:rPr>
                            <w:rFonts w:ascii="GibsonLight" w:hAnsi="GibsonLight"/>
                            <w:spacing w:val="14"/>
                            <w:sz w:val="22"/>
                            <w:szCs w:val="22"/>
                          </w:rPr>
                          <w:t>CEA Registry team screens abstracts for an original cost-utility estimate</w:t>
                        </w:r>
                      </w:p>
                      <w:p w14:paraId="6126426B" w14:textId="56097E58" w:rsidR="00B266CE" w:rsidRPr="004F0578" w:rsidRDefault="00B266CE" w:rsidP="00FB3A8C">
                        <w:pPr>
                          <w:pStyle w:val="ListParagraph"/>
                          <w:numPr>
                            <w:ilvl w:val="0"/>
                            <w:numId w:val="10"/>
                          </w:numPr>
                          <w:rPr>
                            <w:rFonts w:ascii="GibsonLight" w:hAnsi="GibsonLight"/>
                            <w:spacing w:val="14"/>
                            <w:sz w:val="22"/>
                            <w:szCs w:val="22"/>
                          </w:rPr>
                        </w:pPr>
                        <w:r w:rsidRPr="004F0578">
                          <w:rPr>
                            <w:rFonts w:ascii="GibsonLight" w:hAnsi="GibsonLight"/>
                            <w:spacing w:val="14"/>
                            <w:sz w:val="22"/>
                            <w:szCs w:val="22"/>
                          </w:rPr>
                          <w:t>Data for partial review articles are collected</w:t>
                        </w:r>
                      </w:p>
                    </w:txbxContent>
                  </v:textbox>
                </v:shape>
                <v:shape id="_x0000_s1050" type="#_x0000_t202" style="position:absolute;left:45453;top:33916;width:20752;height:1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N8sIA&#10;AADcAAAADwAAAGRycy9kb3ducmV2LnhtbESPQWsCMRSE74X+h/AK3mqiUi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03ywgAAANwAAAAPAAAAAAAAAAAAAAAAAJgCAABkcnMvZG93&#10;bnJldi54bWxQSwUGAAAAAAQABAD1AAAAhwMAAAAA&#10;" filled="f" stroked="f">
                  <v:textbox style="mso-fit-shape-to-text:t">
                    <w:txbxContent>
                      <w:p w14:paraId="643F35C8" w14:textId="0BC8E0D3" w:rsidR="00B266CE" w:rsidRPr="004F0578" w:rsidRDefault="00B266CE" w:rsidP="003B7388">
                        <w:pPr>
                          <w:rPr>
                            <w:rFonts w:ascii="GibsonLight" w:hAnsi="GibsonLight"/>
                            <w:b/>
                            <w:color w:val="C00000"/>
                            <w:spacing w:val="14"/>
                            <w:sz w:val="22"/>
                            <w:szCs w:val="22"/>
                          </w:rPr>
                        </w:pPr>
                        <w:r w:rsidRPr="004F0578">
                          <w:rPr>
                            <w:rFonts w:ascii="GibsonLight" w:hAnsi="GibsonLight"/>
                            <w:b/>
                            <w:color w:val="C00000"/>
                            <w:spacing w:val="14"/>
                            <w:sz w:val="22"/>
                            <w:szCs w:val="22"/>
                          </w:rPr>
                          <w:t>Articles Rejected:</w:t>
                        </w:r>
                      </w:p>
                      <w:p w14:paraId="67FF1810" w14:textId="77777777" w:rsidR="00B266CE" w:rsidRPr="004F0578" w:rsidRDefault="00B266CE" w:rsidP="00FB3A8C">
                        <w:pPr>
                          <w:pStyle w:val="ListParagraph"/>
                          <w:numPr>
                            <w:ilvl w:val="0"/>
                            <w:numId w:val="11"/>
                          </w:numPr>
                          <w:ind w:hanging="270"/>
                          <w:rPr>
                            <w:rFonts w:ascii="GibsonLight" w:hAnsi="GibsonLight"/>
                            <w:color w:val="C00000"/>
                            <w:spacing w:val="14"/>
                            <w:sz w:val="22"/>
                            <w:szCs w:val="22"/>
                          </w:rPr>
                        </w:pPr>
                        <w:r w:rsidRPr="004F0578">
                          <w:rPr>
                            <w:rFonts w:ascii="GibsonLight" w:hAnsi="GibsonLight"/>
                            <w:color w:val="C00000"/>
                            <w:spacing w:val="14"/>
                            <w:sz w:val="22"/>
                            <w:szCs w:val="22"/>
                          </w:rPr>
                          <w:t>Reviews &amp; Editorials</w:t>
                        </w:r>
                      </w:p>
                      <w:p w14:paraId="404B18EC" w14:textId="695A5B88" w:rsidR="00B266CE" w:rsidRPr="004F0578" w:rsidRDefault="00B266CE" w:rsidP="00FB3A8C">
                        <w:pPr>
                          <w:pStyle w:val="ListParagraph"/>
                          <w:numPr>
                            <w:ilvl w:val="0"/>
                            <w:numId w:val="11"/>
                          </w:numPr>
                          <w:ind w:hanging="270"/>
                          <w:rPr>
                            <w:rFonts w:ascii="GibsonLight" w:hAnsi="GibsonLight"/>
                            <w:color w:val="C00000"/>
                            <w:spacing w:val="14"/>
                            <w:sz w:val="22"/>
                            <w:szCs w:val="22"/>
                          </w:rPr>
                        </w:pPr>
                        <w:r w:rsidRPr="004F0578">
                          <w:rPr>
                            <w:rFonts w:ascii="GibsonLight" w:hAnsi="GibsonLight"/>
                            <w:color w:val="C00000"/>
                            <w:spacing w:val="14"/>
                            <w:sz w:val="22"/>
                            <w:szCs w:val="22"/>
                          </w:rPr>
                          <w:t>Methodological articles</w:t>
                        </w:r>
                      </w:p>
                      <w:p w14:paraId="1C07D9EC" w14:textId="77777777" w:rsidR="00B266CE" w:rsidRPr="004F0578" w:rsidRDefault="00B266CE" w:rsidP="00FB3A8C">
                        <w:pPr>
                          <w:pStyle w:val="ListParagraph"/>
                          <w:numPr>
                            <w:ilvl w:val="0"/>
                            <w:numId w:val="11"/>
                          </w:numPr>
                          <w:ind w:hanging="270"/>
                          <w:rPr>
                            <w:rFonts w:ascii="GibsonLight" w:hAnsi="GibsonLight"/>
                            <w:color w:val="C00000"/>
                            <w:spacing w:val="14"/>
                            <w:sz w:val="22"/>
                            <w:szCs w:val="22"/>
                          </w:rPr>
                        </w:pPr>
                        <w:r w:rsidRPr="004F0578">
                          <w:rPr>
                            <w:rFonts w:ascii="GibsonLight" w:hAnsi="GibsonLight"/>
                            <w:color w:val="C00000"/>
                            <w:spacing w:val="14"/>
                            <w:sz w:val="22"/>
                            <w:szCs w:val="22"/>
                          </w:rPr>
                          <w:t>Non-English language articles</w:t>
                        </w:r>
                      </w:p>
                      <w:p w14:paraId="50338134" w14:textId="688DC5BE" w:rsidR="00B266CE" w:rsidRPr="004F0578" w:rsidRDefault="00B266CE" w:rsidP="00FB3A8C">
                        <w:pPr>
                          <w:pStyle w:val="ListParagraph"/>
                          <w:numPr>
                            <w:ilvl w:val="0"/>
                            <w:numId w:val="11"/>
                          </w:numPr>
                          <w:ind w:hanging="270"/>
                          <w:rPr>
                            <w:rFonts w:ascii="GibsonLight" w:hAnsi="GibsonLight"/>
                            <w:color w:val="C00000"/>
                            <w:spacing w:val="14"/>
                            <w:sz w:val="22"/>
                            <w:szCs w:val="22"/>
                          </w:rPr>
                        </w:pPr>
                        <w:r w:rsidRPr="004F0578">
                          <w:rPr>
                            <w:rFonts w:ascii="GibsonLight" w:hAnsi="GibsonLight"/>
                            <w:color w:val="C00000"/>
                            <w:spacing w:val="14"/>
                            <w:sz w:val="22"/>
                            <w:szCs w:val="22"/>
                          </w:rPr>
                          <w:t>Health effects not measured in QALYs or DALYs</w:t>
                        </w:r>
                      </w:p>
                    </w:txbxContent>
                  </v:textbox>
                </v:shape>
                <v:shape id="_x0000_s1051" type="#_x0000_t202" style="position:absolute;left:425;top:45310;width:20777;height:17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1F05D5FD" w14:textId="5727C681" w:rsidR="00B266CE" w:rsidRPr="004F0578" w:rsidRDefault="00B266CE" w:rsidP="00FB3A8C">
                        <w:pPr>
                          <w:pStyle w:val="ListParagraph"/>
                          <w:numPr>
                            <w:ilvl w:val="0"/>
                            <w:numId w:val="12"/>
                          </w:numPr>
                          <w:rPr>
                            <w:rFonts w:ascii="GibsonLight" w:hAnsi="GibsonLight"/>
                            <w:spacing w:val="14"/>
                            <w:sz w:val="22"/>
                            <w:szCs w:val="22"/>
                          </w:rPr>
                        </w:pPr>
                        <w:r w:rsidRPr="004F0578">
                          <w:rPr>
                            <w:rFonts w:ascii="GibsonLight" w:hAnsi="GibsonLight"/>
                            <w:spacing w:val="14"/>
                            <w:sz w:val="22"/>
                            <w:szCs w:val="22"/>
                          </w:rPr>
                          <w:t>Trained reviewers read and collect data on methodology, cost-effectiveness ratios, and utility and disability weights</w:t>
                        </w:r>
                      </w:p>
                      <w:p w14:paraId="30F9AAA4" w14:textId="35799273" w:rsidR="00B266CE" w:rsidRPr="004F0578" w:rsidRDefault="00B266CE" w:rsidP="00FB3A8C">
                        <w:pPr>
                          <w:pStyle w:val="ListParagraph"/>
                          <w:numPr>
                            <w:ilvl w:val="0"/>
                            <w:numId w:val="12"/>
                          </w:numPr>
                          <w:rPr>
                            <w:rFonts w:ascii="GibsonLight" w:hAnsi="GibsonLight"/>
                            <w:spacing w:val="14"/>
                            <w:sz w:val="22"/>
                            <w:szCs w:val="22"/>
                          </w:rPr>
                        </w:pPr>
                        <w:r w:rsidRPr="004F0578">
                          <w:rPr>
                            <w:rFonts w:ascii="GibsonLight" w:hAnsi="GibsonLight"/>
                            <w:spacing w:val="14"/>
                            <w:sz w:val="22"/>
                            <w:szCs w:val="22"/>
                          </w:rPr>
                          <w:t>Reviewers consensus with a partner to resolve discrepancies</w:t>
                        </w:r>
                      </w:p>
                    </w:txbxContent>
                  </v:textbox>
                </v:shape>
                <v:shape id="_x0000_s1052" type="#_x0000_t202" style="position:absolute;left:44707;top:60418;width:20829;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wHcIA&#10;AADcAAAADwAAAGRycy9kb3ducmV2LnhtbESPQWsCMRSE74X+h/AKvdVEQZGtUaRV8NCLut4fm9fN&#10;0s3Lsnl113/fFASPw8x8w6w2Y2jVlfrURLYwnRhQxFV0DdcWyvP+bQkqCbLDNjJZuFGCzfr5aYWF&#10;iwMf6XqSWmUIpwIteJGu0DpVngKmSeyIs/cd+4CSZV9r1+OQ4aHVM2MWOmDDecFjRx+eqp/Tb7Ag&#10;4rbTW7kL6XAZvz4Hb6o5lta+vozbd1BCozzC9/bBWZiZO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nAdwgAAANwAAAAPAAAAAAAAAAAAAAAAAJgCAABkcnMvZG93&#10;bnJldi54bWxQSwUGAAAAAAQABAD1AAAAhwMAAAAA&#10;" filled="f" stroked="f">
                  <v:textbox style="mso-fit-shape-to-text:t">
                    <w:txbxContent>
                      <w:p w14:paraId="1BB88A2C" w14:textId="42059826" w:rsidR="00B266CE" w:rsidRPr="004F0578" w:rsidRDefault="00B266CE">
                        <w:pPr>
                          <w:rPr>
                            <w:rFonts w:ascii="GibsonLight" w:hAnsi="GibsonLight"/>
                            <w:spacing w:val="14"/>
                            <w:sz w:val="22"/>
                            <w:szCs w:val="22"/>
                          </w:rPr>
                        </w:pPr>
                        <w:r w:rsidRPr="004F0578">
                          <w:rPr>
                            <w:rFonts w:ascii="GibsonLight" w:hAnsi="GibsonLight"/>
                            <w:spacing w:val="14"/>
                            <w:sz w:val="22"/>
                            <w:szCs w:val="22"/>
                          </w:rPr>
                          <w:t>Data is cleaned and quality checked</w:t>
                        </w:r>
                      </w:p>
                    </w:txbxContent>
                  </v:textbox>
                </v:shape>
                <w10:wrap type="square" anchorx="margin" anchory="margin"/>
              </v:group>
            </w:pict>
          </mc:Fallback>
        </mc:AlternateContent>
      </w:r>
    </w:p>
    <w:p w14:paraId="57B55AE7" w14:textId="4A845F27" w:rsidR="001C07C8" w:rsidRPr="009278C6" w:rsidRDefault="001C07C8" w:rsidP="001C07C8">
      <w:pPr>
        <w:autoSpaceDE/>
        <w:autoSpaceDN/>
        <w:rPr>
          <w:rFonts w:ascii="GibsonLight" w:eastAsia="Arial Unicode MS" w:hAnsi="GibsonLight"/>
          <w:b/>
          <w:spacing w:val="12"/>
          <w:sz w:val="24"/>
          <w:szCs w:val="24"/>
        </w:rPr>
      </w:pPr>
      <w:r w:rsidRPr="009278C6">
        <w:rPr>
          <w:rFonts w:ascii="GibsonLight" w:eastAsia="Arial Unicode MS" w:hAnsi="GibsonLight"/>
          <w:b/>
          <w:spacing w:val="12"/>
          <w:sz w:val="24"/>
          <w:szCs w:val="24"/>
        </w:rPr>
        <w:lastRenderedPageBreak/>
        <w:t xml:space="preserve">Table 1. </w:t>
      </w:r>
      <w:r w:rsidRPr="009278C6">
        <w:rPr>
          <w:rFonts w:ascii="GibsonLight" w:hAnsi="GibsonLight"/>
          <w:b/>
          <w:spacing w:val="12"/>
          <w:sz w:val="24"/>
          <w:szCs w:val="24"/>
        </w:rPr>
        <w:t>CEA Registry Search Terms</w:t>
      </w:r>
    </w:p>
    <w:p w14:paraId="70D19597" w14:textId="09ACF01E" w:rsidR="00F90B78" w:rsidRPr="004F0578" w:rsidRDefault="00F90B78" w:rsidP="001C07C8">
      <w:pPr>
        <w:autoSpaceDE/>
        <w:autoSpaceDN/>
        <w:rPr>
          <w:rFonts w:ascii="GibsonLight" w:eastAsia="Arial Unicode MS" w:hAnsi="GibsonLight"/>
          <w:b/>
          <w:spacing w:val="12"/>
          <w:sz w:val="22"/>
          <w:szCs w:val="22"/>
        </w:rPr>
      </w:pPr>
    </w:p>
    <w:tbl>
      <w:tblPr>
        <w:tblStyle w:val="TableGrid"/>
        <w:tblpPr w:leftFromText="180" w:rightFromText="180" w:vertAnchor="text" w:horzAnchor="margin" w:tblpY="-63"/>
        <w:tblW w:w="10206" w:type="dxa"/>
        <w:tblLook w:val="04A0" w:firstRow="1" w:lastRow="0" w:firstColumn="1" w:lastColumn="0" w:noHBand="0" w:noVBand="1"/>
      </w:tblPr>
      <w:tblGrid>
        <w:gridCol w:w="10206"/>
      </w:tblGrid>
      <w:tr w:rsidR="00B157D5" w:rsidRPr="00E20483" w14:paraId="5A43C5CE" w14:textId="77777777" w:rsidTr="004F0578">
        <w:trPr>
          <w:trHeight w:val="3606"/>
        </w:trPr>
        <w:tc>
          <w:tcPr>
            <w:tcW w:w="10206" w:type="dxa"/>
          </w:tcPr>
          <w:p w14:paraId="171D5B0E" w14:textId="77777777" w:rsidR="00B157D5" w:rsidRPr="00E20483" w:rsidRDefault="00B157D5" w:rsidP="004B15D0">
            <w:pPr>
              <w:pStyle w:val="BodyText2"/>
              <w:spacing w:after="120"/>
              <w:rPr>
                <w:rFonts w:ascii="GibsonLight" w:eastAsia="Arial Unicode MS" w:hAnsi="GibsonLight" w:cs="Times New Roman"/>
                <w:spacing w:val="12"/>
                <w:sz w:val="22"/>
                <w:szCs w:val="22"/>
              </w:rPr>
            </w:pPr>
            <w:r w:rsidRPr="00E20483">
              <w:rPr>
                <w:rFonts w:ascii="GibsonLight" w:eastAsia="Arial Unicode MS" w:hAnsi="GibsonLight" w:cs="Times New Roman"/>
                <w:i/>
                <w:spacing w:val="12"/>
                <w:sz w:val="22"/>
                <w:szCs w:val="22"/>
              </w:rPr>
              <w:t>Filter</w:t>
            </w:r>
            <w:r w:rsidRPr="00E20483">
              <w:rPr>
                <w:rFonts w:ascii="GibsonLight" w:eastAsia="Arial Unicode MS" w:hAnsi="GibsonLight" w:cs="Times New Roman"/>
                <w:spacing w:val="12"/>
                <w:sz w:val="22"/>
                <w:szCs w:val="22"/>
              </w:rPr>
              <w:t>:</w:t>
            </w:r>
            <w:r w:rsidRPr="00E20483">
              <w:rPr>
                <w:rFonts w:ascii="GibsonLight" w:eastAsia="Arial Unicode MS" w:hAnsi="GibsonLight" w:cs="Times New Roman"/>
                <w:i/>
                <w:spacing w:val="12"/>
                <w:sz w:val="22"/>
                <w:szCs w:val="22"/>
              </w:rPr>
              <w:t xml:space="preserve"> English-only</w:t>
            </w:r>
          </w:p>
          <w:p w14:paraId="5C3AD75D"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Quality-adjusted life years [MeSH]</w:t>
            </w:r>
          </w:p>
          <w:p w14:paraId="5864FC3A"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Quality-Adjusted Life Year [Emtree]</w:t>
            </w:r>
          </w:p>
          <w:p w14:paraId="352D170F"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Quality-Adjusted Life Year [ti,ab]</w:t>
            </w:r>
          </w:p>
          <w:p w14:paraId="1DDA7A0F"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Quality-Adjusted Life Years [ti,ab]</w:t>
            </w:r>
          </w:p>
          <w:p w14:paraId="61896298"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Quality-adjusted life year [ti,ab]</w:t>
            </w:r>
          </w:p>
          <w:p w14:paraId="6E98568E"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Quality-adjusted life years [ti,ab]</w:t>
            </w:r>
          </w:p>
          <w:p w14:paraId="653D70A8"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Quality-adjusted life-year [ti,ab]</w:t>
            </w:r>
          </w:p>
          <w:p w14:paraId="0117CC9B"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Quality-adjusted life-years [ti,ab]</w:t>
            </w:r>
          </w:p>
          <w:p w14:paraId="0910F52F"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 adjusted life-year [ti,ab]</w:t>
            </w:r>
          </w:p>
          <w:p w14:paraId="6A9AB941"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Quality adjusted life-years [ti,ab]</w:t>
            </w:r>
          </w:p>
          <w:p w14:paraId="4CC1EC42"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QALY [ti,ab]</w:t>
            </w:r>
          </w:p>
          <w:p w14:paraId="469188E0" w14:textId="77777777" w:rsidR="00B157D5" w:rsidRPr="00E20483" w:rsidRDefault="00B157D5" w:rsidP="004B15D0">
            <w:pPr>
              <w:pStyle w:val="BodyText2"/>
              <w:numPr>
                <w:ilvl w:val="0"/>
                <w:numId w:val="6"/>
              </w:numPr>
              <w:rPr>
                <w:rFonts w:ascii="GibsonLight" w:eastAsia="Arial Unicode MS" w:hAnsi="GibsonLight" w:cs="Times New Roman"/>
                <w:spacing w:val="12"/>
                <w:sz w:val="22"/>
              </w:rPr>
            </w:pPr>
            <w:r w:rsidRPr="00E20483">
              <w:rPr>
                <w:rFonts w:ascii="GibsonLight" w:eastAsia="Arial Unicode MS" w:hAnsi="GibsonLight" w:cs="Times New Roman"/>
                <w:spacing w:val="12"/>
                <w:sz w:val="22"/>
                <w:szCs w:val="22"/>
              </w:rPr>
              <w:t>QALYs [ti,ab]</w:t>
            </w:r>
          </w:p>
          <w:p w14:paraId="583CDE9A"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Global Burden of Disease [MeSH]</w:t>
            </w:r>
          </w:p>
          <w:p w14:paraId="3234A2FF"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Disability-adjusted life year [Emtree]</w:t>
            </w:r>
          </w:p>
          <w:p w14:paraId="285DDD71"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Disability-Adjusted Life Year [ti,ab]</w:t>
            </w:r>
          </w:p>
          <w:p w14:paraId="3404F27F"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Disability-Adjusted Life Years [ti,ab]</w:t>
            </w:r>
          </w:p>
          <w:p w14:paraId="3CD7BFB0"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Disability-adjusted life year [ti,ab]</w:t>
            </w:r>
          </w:p>
          <w:p w14:paraId="3BE19CB4"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Disability-adjusted life years [ti,ab]</w:t>
            </w:r>
          </w:p>
          <w:p w14:paraId="59457018"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Disability-adjusted life-year [ti,ab]</w:t>
            </w:r>
          </w:p>
          <w:p w14:paraId="57EA263A"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Disability-adjusted life-years [ti,ab]</w:t>
            </w:r>
          </w:p>
          <w:p w14:paraId="4CC97349"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Disability adjusted life-year [ti,ab]</w:t>
            </w:r>
          </w:p>
          <w:p w14:paraId="675886CB"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Disability adjusted life-years [ti,ab]</w:t>
            </w:r>
          </w:p>
          <w:p w14:paraId="4A37FA54" w14:textId="77777777" w:rsidR="00B157D5" w:rsidRPr="00E20483" w:rsidRDefault="00B157D5" w:rsidP="004B15D0">
            <w:pPr>
              <w:pStyle w:val="BodyText2"/>
              <w:numPr>
                <w:ilvl w:val="0"/>
                <w:numId w:val="6"/>
              </w:numPr>
              <w:rPr>
                <w:rFonts w:ascii="GibsonLight" w:eastAsia="Arial Unicode MS" w:hAnsi="GibsonLight" w:cs="Times New Roman"/>
                <w:spacing w:val="12"/>
                <w:sz w:val="22"/>
                <w:szCs w:val="22"/>
              </w:rPr>
            </w:pPr>
            <w:r w:rsidRPr="00E20483">
              <w:rPr>
                <w:rFonts w:ascii="GibsonLight" w:eastAsia="Arial Unicode MS" w:hAnsi="GibsonLight" w:cs="Times New Roman"/>
                <w:spacing w:val="12"/>
                <w:sz w:val="22"/>
                <w:szCs w:val="22"/>
              </w:rPr>
              <w:t>DALY [ti,ab]</w:t>
            </w:r>
          </w:p>
          <w:p w14:paraId="608B4786" w14:textId="77777777" w:rsidR="00B157D5" w:rsidRPr="00E20483" w:rsidRDefault="00B157D5" w:rsidP="004B15D0">
            <w:pPr>
              <w:pStyle w:val="BodyText2"/>
              <w:numPr>
                <w:ilvl w:val="0"/>
                <w:numId w:val="6"/>
              </w:numPr>
              <w:rPr>
                <w:rFonts w:ascii="GibsonLight" w:eastAsia="Arial Unicode MS" w:hAnsi="GibsonLight" w:cs="Times New Roman"/>
                <w:spacing w:val="12"/>
                <w:sz w:val="22"/>
              </w:rPr>
            </w:pPr>
            <w:r w:rsidRPr="00E20483">
              <w:rPr>
                <w:rFonts w:ascii="GibsonLight" w:eastAsia="Arial Unicode MS" w:hAnsi="GibsonLight" w:cs="Times New Roman"/>
                <w:spacing w:val="12"/>
                <w:sz w:val="22"/>
                <w:szCs w:val="22"/>
              </w:rPr>
              <w:t>DALYs [ti,ab]</w:t>
            </w:r>
          </w:p>
        </w:tc>
      </w:tr>
    </w:tbl>
    <w:p w14:paraId="5E067303" w14:textId="4EFBD853" w:rsidR="005213B6" w:rsidRPr="009278C6" w:rsidRDefault="00CC0FB9" w:rsidP="004B15D0">
      <w:pPr>
        <w:autoSpaceDE/>
        <w:autoSpaceDN/>
        <w:spacing w:after="120"/>
        <w:rPr>
          <w:rFonts w:ascii="GibsonLight" w:eastAsia="Arial Unicode MS" w:hAnsi="GibsonLight"/>
          <w:b/>
          <w:spacing w:val="12"/>
          <w:sz w:val="24"/>
          <w:szCs w:val="24"/>
        </w:rPr>
      </w:pPr>
      <w:r w:rsidRPr="009278C6">
        <w:rPr>
          <w:rFonts w:ascii="GibsonLight" w:eastAsia="Arial Unicode MS" w:hAnsi="GibsonLight"/>
          <w:b/>
          <w:spacing w:val="12"/>
          <w:sz w:val="24"/>
          <w:szCs w:val="24"/>
        </w:rPr>
        <w:t>Table 2. Journals that Frequently Publish Health Economic Evaluations</w:t>
      </w:r>
    </w:p>
    <w:tbl>
      <w:tblPr>
        <w:tblW w:w="101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600" w:firstRow="0" w:lastRow="0" w:firstColumn="0" w:lastColumn="0" w:noHBand="1" w:noVBand="1"/>
      </w:tblPr>
      <w:tblGrid>
        <w:gridCol w:w="10123"/>
      </w:tblGrid>
      <w:tr w:rsidR="00CC0FB9" w:rsidRPr="00E20483" w14:paraId="326CFCA3" w14:textId="77777777" w:rsidTr="004F0578">
        <w:trPr>
          <w:trHeight w:val="3656"/>
        </w:trPr>
        <w:tc>
          <w:tcPr>
            <w:tcW w:w="10123" w:type="dxa"/>
            <w:shd w:val="clear" w:color="auto" w:fill="auto"/>
            <w:tcMar>
              <w:top w:w="15" w:type="dxa"/>
              <w:left w:w="15" w:type="dxa"/>
              <w:bottom w:w="0" w:type="dxa"/>
              <w:right w:w="15" w:type="dxa"/>
            </w:tcMar>
            <w:vAlign w:val="bottom"/>
            <w:hideMark/>
          </w:tcPr>
          <w:p w14:paraId="6700393F" w14:textId="77777777"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Applied Health Economics and Health Policy</w:t>
            </w:r>
          </w:p>
          <w:p w14:paraId="758F03AB" w14:textId="77777777"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BMC Health Services Research</w:t>
            </w:r>
          </w:p>
          <w:p w14:paraId="55A9AE89" w14:textId="0A8CA0D9"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BMJ Open</w:t>
            </w:r>
          </w:p>
          <w:p w14:paraId="50A98FFC" w14:textId="77777777"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Clinical Drug Investigation</w:t>
            </w:r>
          </w:p>
          <w:p w14:paraId="1405854D" w14:textId="77777777"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Clinical Therapeutics</w:t>
            </w:r>
          </w:p>
          <w:p w14:paraId="32D78AC7" w14:textId="77777777"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ClinicoEconomics and Outcomes Research</w:t>
            </w:r>
          </w:p>
          <w:p w14:paraId="11F3C9CA" w14:textId="77777777"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 xml:space="preserve">Cost Effectiveness and Resource Allocation </w:t>
            </w:r>
          </w:p>
          <w:p w14:paraId="7B867A4F" w14:textId="11AAB55E"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 xml:space="preserve">Expert Review of </w:t>
            </w:r>
            <w:r w:rsidR="005213B6" w:rsidRPr="00E20483">
              <w:rPr>
                <w:rFonts w:ascii="GibsonLight" w:eastAsia="Arial Unicode MS" w:hAnsi="GibsonLight"/>
                <w:spacing w:val="12"/>
                <w:sz w:val="22"/>
                <w:szCs w:val="22"/>
              </w:rPr>
              <w:t>Pharmacoeconomic</w:t>
            </w:r>
            <w:r w:rsidRPr="00E20483">
              <w:rPr>
                <w:rFonts w:ascii="GibsonLight" w:eastAsia="Arial Unicode MS" w:hAnsi="GibsonLight"/>
                <w:spacing w:val="12"/>
                <w:sz w:val="22"/>
                <w:szCs w:val="22"/>
              </w:rPr>
              <w:t xml:space="preserve"> &amp; Outcomes Research </w:t>
            </w:r>
          </w:p>
          <w:p w14:paraId="27B6A5FD" w14:textId="77777777"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The European Journal of Health Economics</w:t>
            </w:r>
          </w:p>
          <w:p w14:paraId="15C443D3" w14:textId="0ECA6573"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 xml:space="preserve">Human Vaccines &amp; </w:t>
            </w:r>
            <w:r w:rsidR="005213B6" w:rsidRPr="00E20483">
              <w:rPr>
                <w:rFonts w:ascii="GibsonLight" w:eastAsia="Arial Unicode MS" w:hAnsi="GibsonLight"/>
                <w:spacing w:val="12"/>
                <w:sz w:val="22"/>
                <w:szCs w:val="22"/>
              </w:rPr>
              <w:t>Immunotherapeutic</w:t>
            </w:r>
          </w:p>
          <w:p w14:paraId="2ABD41F0" w14:textId="0A310E0E"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 xml:space="preserve">Journal of Medical Economics </w:t>
            </w:r>
            <w:r w:rsidR="00CC0FB9" w:rsidRPr="00E20483">
              <w:rPr>
                <w:rFonts w:ascii="GibsonLight" w:eastAsia="Arial Unicode MS" w:hAnsi="GibsonLight"/>
                <w:spacing w:val="12"/>
                <w:sz w:val="22"/>
                <w:szCs w:val="22"/>
              </w:rPr>
              <w:t>PLoS One</w:t>
            </w:r>
          </w:p>
          <w:p w14:paraId="0D9E2CF0" w14:textId="4991BECE" w:rsidR="00294E27" w:rsidRPr="00E20483" w:rsidRDefault="005213B6"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Pharmacoeconomic</w:t>
            </w:r>
          </w:p>
          <w:p w14:paraId="50D91001" w14:textId="77777777"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Vaccine</w:t>
            </w:r>
          </w:p>
          <w:p w14:paraId="20031C9A" w14:textId="753661D0" w:rsidR="00294E27" w:rsidRPr="00E20483" w:rsidRDefault="00294E27" w:rsidP="004B15D0">
            <w:pPr>
              <w:pStyle w:val="ListParagraph"/>
              <w:numPr>
                <w:ilvl w:val="0"/>
                <w:numId w:val="15"/>
              </w:numPr>
              <w:autoSpaceDE/>
              <w:autoSpaceDN/>
              <w:rPr>
                <w:rFonts w:ascii="GibsonLight" w:eastAsia="Arial Unicode MS" w:hAnsi="GibsonLight"/>
                <w:spacing w:val="12"/>
                <w:sz w:val="22"/>
                <w:szCs w:val="22"/>
              </w:rPr>
            </w:pPr>
            <w:r w:rsidRPr="00E20483">
              <w:rPr>
                <w:rFonts w:ascii="GibsonLight" w:eastAsia="Arial Unicode MS" w:hAnsi="GibsonLight"/>
                <w:spacing w:val="12"/>
                <w:sz w:val="22"/>
                <w:szCs w:val="22"/>
              </w:rPr>
              <w:t>Value in Health</w:t>
            </w:r>
          </w:p>
        </w:tc>
      </w:tr>
    </w:tbl>
    <w:p w14:paraId="3AD30773" w14:textId="77777777" w:rsidR="00E20483" w:rsidRDefault="00E20483" w:rsidP="004B15D0">
      <w:pPr>
        <w:pStyle w:val="Heading1"/>
        <w:numPr>
          <w:ilvl w:val="0"/>
          <w:numId w:val="0"/>
        </w:numPr>
        <w:spacing w:after="120"/>
        <w:rPr>
          <w:rFonts w:ascii="Gibson" w:eastAsia="Arial Unicode MS" w:hAnsi="Gibson" w:cstheme="minorHAnsi"/>
          <w:b w:val="0"/>
          <w:spacing w:val="12"/>
          <w:sz w:val="44"/>
        </w:rPr>
      </w:pPr>
    </w:p>
    <w:p w14:paraId="1E4E3EA1" w14:textId="77777777" w:rsidR="00E20483" w:rsidRDefault="00E20483">
      <w:pPr>
        <w:autoSpaceDE/>
        <w:autoSpaceDN/>
        <w:rPr>
          <w:rFonts w:ascii="Gibson" w:eastAsia="Arial Unicode MS" w:hAnsi="Gibson" w:cstheme="minorHAnsi"/>
          <w:bCs/>
          <w:caps/>
          <w:spacing w:val="12"/>
          <w:sz w:val="44"/>
          <w:szCs w:val="40"/>
        </w:rPr>
      </w:pPr>
      <w:r>
        <w:rPr>
          <w:rFonts w:ascii="Gibson" w:eastAsia="Arial Unicode MS" w:hAnsi="Gibson" w:cstheme="minorHAnsi"/>
          <w:b/>
          <w:spacing w:val="12"/>
          <w:sz w:val="44"/>
        </w:rPr>
        <w:br w:type="page"/>
      </w:r>
    </w:p>
    <w:p w14:paraId="5D978320" w14:textId="4CD18E55" w:rsidR="00A90BD3" w:rsidRPr="004F0578" w:rsidRDefault="00E20483" w:rsidP="004B15D0">
      <w:pPr>
        <w:pStyle w:val="Heading1"/>
        <w:numPr>
          <w:ilvl w:val="0"/>
          <w:numId w:val="0"/>
        </w:numPr>
        <w:spacing w:after="120"/>
        <w:rPr>
          <w:rFonts w:ascii="Gibson" w:eastAsia="Arial Unicode MS" w:hAnsi="Gibson" w:cstheme="minorHAnsi"/>
          <w:b w:val="0"/>
          <w:spacing w:val="12"/>
          <w:sz w:val="44"/>
        </w:rPr>
      </w:pPr>
      <w:bookmarkStart w:id="9" w:name="_Toc100072027"/>
      <w:r>
        <w:rPr>
          <w:rFonts w:ascii="Gibson" w:eastAsia="Arial Unicode MS" w:hAnsi="Gibson" w:cstheme="minorHAnsi"/>
          <w:b w:val="0"/>
          <w:spacing w:val="12"/>
          <w:sz w:val="44"/>
        </w:rPr>
        <w:lastRenderedPageBreak/>
        <w:t>Database</w:t>
      </w:r>
      <w:r w:rsidR="00142BDC" w:rsidRPr="004F0578">
        <w:rPr>
          <w:rFonts w:ascii="Gibson" w:eastAsia="Arial Unicode MS" w:hAnsi="Gibson" w:cstheme="minorHAnsi"/>
          <w:b w:val="0"/>
          <w:spacing w:val="12"/>
          <w:sz w:val="44"/>
        </w:rPr>
        <w:t xml:space="preserve"> </w:t>
      </w:r>
      <w:r w:rsidR="00A90BD3" w:rsidRPr="004F0578">
        <w:rPr>
          <w:rFonts w:ascii="Gibson" w:eastAsia="Arial Unicode MS" w:hAnsi="Gibson" w:cstheme="minorHAnsi"/>
          <w:b w:val="0"/>
          <w:spacing w:val="12"/>
          <w:sz w:val="44"/>
        </w:rPr>
        <w:t>Glossary</w:t>
      </w:r>
      <w:bookmarkEnd w:id="9"/>
    </w:p>
    <w:p w14:paraId="771BAD25" w14:textId="114CBCC9" w:rsidR="009F13E7" w:rsidRPr="004F0578" w:rsidRDefault="009F13E7" w:rsidP="004B15D0">
      <w:pPr>
        <w:pStyle w:val="Heading2"/>
        <w:numPr>
          <w:ilvl w:val="0"/>
          <w:numId w:val="0"/>
        </w:numPr>
        <w:spacing w:after="120"/>
        <w:jc w:val="left"/>
        <w:rPr>
          <w:rFonts w:ascii="Gibson" w:eastAsia="Arial Unicode MS" w:hAnsi="Gibson" w:cs="Times New Roman"/>
          <w:spacing w:val="12"/>
          <w:u w:val="single"/>
        </w:rPr>
      </w:pPr>
      <w:bookmarkStart w:id="10" w:name="_Toc100072028"/>
      <w:r w:rsidRPr="004F0578">
        <w:rPr>
          <w:rFonts w:ascii="Gibson" w:eastAsia="Arial Unicode MS" w:hAnsi="Gibson" w:cs="Times New Roman"/>
          <w:spacing w:val="12"/>
          <w:u w:val="single"/>
        </w:rPr>
        <w:t xml:space="preserve">Methods </w:t>
      </w:r>
      <w:r w:rsidR="000C0AA9" w:rsidRPr="004F0578">
        <w:rPr>
          <w:rFonts w:ascii="Gibson" w:eastAsia="Arial Unicode MS" w:hAnsi="Gibson" w:cs="Times New Roman"/>
          <w:spacing w:val="12"/>
          <w:u w:val="single"/>
        </w:rPr>
        <w:t>Form</w:t>
      </w:r>
      <w:bookmarkEnd w:id="10"/>
    </w:p>
    <w:p w14:paraId="4F06831A" w14:textId="47F320AB" w:rsidR="003B2A98" w:rsidRPr="009278C6" w:rsidRDefault="003B2A98" w:rsidP="004B15D0">
      <w:pPr>
        <w:pStyle w:val="Heading3"/>
        <w:numPr>
          <w:ilvl w:val="0"/>
          <w:numId w:val="0"/>
        </w:numPr>
        <w:spacing w:after="120"/>
        <w:rPr>
          <w:rFonts w:ascii="GibsonLight" w:eastAsia="Arial Unicode MS" w:hAnsi="GibsonLight"/>
          <w:spacing w:val="12"/>
          <w:sz w:val="32"/>
          <w:szCs w:val="28"/>
        </w:rPr>
      </w:pPr>
      <w:bookmarkStart w:id="11" w:name="_Toc100072029"/>
      <w:r w:rsidRPr="009278C6">
        <w:rPr>
          <w:rFonts w:ascii="GibsonLight" w:eastAsia="Arial Unicode MS" w:hAnsi="GibsonLight"/>
          <w:spacing w:val="12"/>
          <w:sz w:val="32"/>
          <w:szCs w:val="28"/>
        </w:rPr>
        <w:t>Article</w:t>
      </w:r>
      <w:r w:rsidR="000C0AA9" w:rsidRPr="009278C6">
        <w:rPr>
          <w:rFonts w:ascii="GibsonLight" w:eastAsia="Arial Unicode MS" w:hAnsi="GibsonLight"/>
          <w:spacing w:val="12"/>
          <w:sz w:val="32"/>
          <w:szCs w:val="28"/>
        </w:rPr>
        <w:t xml:space="preserve"> Information</w:t>
      </w:r>
      <w:bookmarkEnd w:id="11"/>
    </w:p>
    <w:p w14:paraId="1A555D1B" w14:textId="785B5425" w:rsidR="00776D62" w:rsidRPr="00E20483" w:rsidRDefault="00776D62" w:rsidP="004B15D0">
      <w:pPr>
        <w:numPr>
          <w:ilvl w:val="0"/>
          <w:numId w:val="1"/>
        </w:numPr>
        <w:tabs>
          <w:tab w:val="num" w:pos="360"/>
          <w:tab w:val="left" w:pos="630"/>
        </w:tabs>
        <w:spacing w:after="120"/>
        <w:ind w:left="270" w:hanging="270"/>
        <w:rPr>
          <w:rFonts w:ascii="GibsonLight" w:eastAsia="Arial Unicode MS" w:hAnsi="GibsonLight"/>
          <w:b/>
          <w:spacing w:val="12"/>
          <w:sz w:val="22"/>
          <w:szCs w:val="24"/>
        </w:rPr>
      </w:pPr>
      <w:r w:rsidRPr="00E20483">
        <w:rPr>
          <w:rFonts w:ascii="GibsonLight" w:eastAsia="Arial Unicode MS" w:hAnsi="GibsonLight"/>
          <w:b/>
          <w:spacing w:val="12"/>
          <w:sz w:val="22"/>
          <w:szCs w:val="24"/>
        </w:rPr>
        <w:t>Article Accepted</w:t>
      </w:r>
      <w:r w:rsidR="007174B9" w:rsidRPr="00E20483">
        <w:rPr>
          <w:rFonts w:ascii="GibsonLight" w:eastAsia="Arial Unicode MS" w:hAnsi="GibsonLight"/>
          <w:spacing w:val="12"/>
          <w:sz w:val="22"/>
          <w:szCs w:val="24"/>
        </w:rPr>
        <w:t>:</w:t>
      </w:r>
    </w:p>
    <w:p w14:paraId="09C2481D" w14:textId="47D8BA4F" w:rsidR="00776D62" w:rsidRPr="00E20483" w:rsidRDefault="00776D62" w:rsidP="004B15D0">
      <w:pPr>
        <w:tabs>
          <w:tab w:val="left" w:pos="630"/>
        </w:tabs>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Yes</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At least one original $/QALY or $/DALY ratio is reported.</w:t>
      </w:r>
    </w:p>
    <w:p w14:paraId="045851A0" w14:textId="4F0B8A6A" w:rsidR="00776D62" w:rsidRPr="00E20483" w:rsidRDefault="00776D62" w:rsidP="004B15D0">
      <w:pPr>
        <w:tabs>
          <w:tab w:val="left" w:pos="630"/>
        </w:tabs>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No</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There are no original $/QALY or $/DALY ratios reported.</w:t>
      </w:r>
    </w:p>
    <w:p w14:paraId="63420561" w14:textId="4491A06D" w:rsidR="002E1749" w:rsidRPr="00E20483" w:rsidRDefault="002E1749" w:rsidP="004B15D0">
      <w:pPr>
        <w:spacing w:after="120"/>
        <w:ind w:left="1440"/>
        <w:rPr>
          <w:rFonts w:ascii="GibsonLight" w:eastAsia="Arial Unicode MS" w:hAnsi="GibsonLight"/>
          <w:spacing w:val="12"/>
          <w:sz w:val="22"/>
          <w:szCs w:val="24"/>
        </w:rPr>
      </w:pPr>
      <w:r w:rsidRPr="00E20483">
        <w:rPr>
          <w:rFonts w:ascii="GibsonLight" w:eastAsia="Arial Unicode MS" w:hAnsi="GibsonLight"/>
          <w:b/>
          <w:spacing w:val="12"/>
          <w:sz w:val="22"/>
          <w:szCs w:val="24"/>
        </w:rPr>
        <w:t>Other reasons for rejection</w:t>
      </w:r>
      <w:r w:rsidR="007174B9" w:rsidRPr="00E20483">
        <w:rPr>
          <w:rFonts w:ascii="GibsonLight" w:eastAsia="Arial Unicode MS" w:hAnsi="GibsonLight"/>
          <w:spacing w:val="12"/>
          <w:sz w:val="22"/>
          <w:szCs w:val="24"/>
        </w:rPr>
        <w:t>:</w:t>
      </w:r>
    </w:p>
    <w:p w14:paraId="50434762" w14:textId="77777777"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Non-English articles</w:t>
      </w:r>
    </w:p>
    <w:p w14:paraId="27C9D5E1" w14:textId="593C682D"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Systematic reviews</w:t>
      </w:r>
    </w:p>
    <w:p w14:paraId="0A691831" w14:textId="77777777"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Opinion/perspective/editorial/commentaries</w:t>
      </w:r>
    </w:p>
    <w:p w14:paraId="051ED163" w14:textId="3FFEE049"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Methodological article</w:t>
      </w:r>
    </w:p>
    <w:p w14:paraId="40CB0983" w14:textId="664DDDCB"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Health Technology Assessments (HTAs)</w:t>
      </w:r>
    </w:p>
    <w:p w14:paraId="4838CEAA" w14:textId="544298C6"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Study protocols</w:t>
      </w:r>
    </w:p>
    <w:p w14:paraId="2BF3D654" w14:textId="77777777"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Cost benefit analysis (CBA)</w:t>
      </w:r>
    </w:p>
    <w:p w14:paraId="465D3510" w14:textId="19EBD094"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$/LY only</w:t>
      </w:r>
    </w:p>
    <w:p w14:paraId="00C97079" w14:textId="06AD7FC8"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$/Cases</w:t>
      </w:r>
    </w:p>
    <w:p w14:paraId="6C35829C" w14:textId="653B7B57"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Cost only</w:t>
      </w:r>
    </w:p>
    <w:p w14:paraId="5BE09687" w14:textId="2FEF30E1"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QALY, DALY, or LY only</w:t>
      </w:r>
    </w:p>
    <w:p w14:paraId="702B801A" w14:textId="41B51544"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Cases only</w:t>
      </w:r>
    </w:p>
    <w:p w14:paraId="4FDE6460" w14:textId="5AFDA4A6" w:rsidR="002E1749" w:rsidRPr="00E20483" w:rsidRDefault="002E1749" w:rsidP="004B15D0">
      <w:pPr>
        <w:pStyle w:val="ListParagraph"/>
        <w:numPr>
          <w:ilvl w:val="0"/>
          <w:numId w:val="16"/>
        </w:numPr>
        <w:tabs>
          <w:tab w:val="left" w:pos="630"/>
        </w:tabs>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Other non-ratio</w:t>
      </w:r>
    </w:p>
    <w:p w14:paraId="6DABA462" w14:textId="210CCE12" w:rsidR="002E1749" w:rsidRPr="00E20483" w:rsidRDefault="002E1749" w:rsidP="004B15D0">
      <w:pPr>
        <w:pStyle w:val="ListParagraph"/>
        <w:numPr>
          <w:ilvl w:val="0"/>
          <w:numId w:val="16"/>
        </w:numPr>
        <w:tabs>
          <w:tab w:val="left" w:pos="630"/>
        </w:tabs>
        <w:spacing w:after="120"/>
        <w:ind w:left="1980"/>
        <w:rPr>
          <w:rFonts w:ascii="GibsonLight" w:eastAsia="Arial Unicode MS" w:hAnsi="GibsonLight"/>
          <w:spacing w:val="12"/>
          <w:sz w:val="22"/>
          <w:szCs w:val="24"/>
        </w:rPr>
      </w:pPr>
      <w:r w:rsidRPr="00E20483">
        <w:rPr>
          <w:rFonts w:ascii="GibsonLight" w:eastAsia="Arial Unicode MS" w:hAnsi="GibsonLight"/>
          <w:spacing w:val="12"/>
          <w:sz w:val="22"/>
          <w:szCs w:val="24"/>
        </w:rPr>
        <w:t>Other non-economic analysis</w:t>
      </w:r>
    </w:p>
    <w:p w14:paraId="3BBD0735" w14:textId="017C00A2" w:rsidR="00B92855" w:rsidRPr="00E20483" w:rsidRDefault="00B92855" w:rsidP="004B15D0">
      <w:pPr>
        <w:numPr>
          <w:ilvl w:val="0"/>
          <w:numId w:val="1"/>
        </w:numPr>
        <w:tabs>
          <w:tab w:val="num" w:pos="360"/>
          <w:tab w:val="left" w:pos="630"/>
        </w:tabs>
        <w:spacing w:after="120"/>
        <w:ind w:left="270" w:hanging="270"/>
        <w:rPr>
          <w:rFonts w:ascii="GibsonLight" w:eastAsia="Arial Unicode MS" w:hAnsi="GibsonLight"/>
          <w:spacing w:val="12"/>
          <w:sz w:val="22"/>
          <w:szCs w:val="24"/>
        </w:rPr>
      </w:pPr>
      <w:r w:rsidRPr="00E20483">
        <w:rPr>
          <w:rFonts w:ascii="GibsonLight" w:eastAsia="Arial Unicode MS" w:hAnsi="GibsonLight"/>
          <w:b/>
          <w:spacing w:val="12"/>
          <w:sz w:val="22"/>
          <w:szCs w:val="24"/>
        </w:rPr>
        <w:t>Health Outcomes</w:t>
      </w:r>
      <w:r w:rsidR="007174B9" w:rsidRPr="00E20483">
        <w:rPr>
          <w:rFonts w:ascii="GibsonLight" w:eastAsia="Arial Unicode MS" w:hAnsi="GibsonLight"/>
          <w:spacing w:val="12"/>
          <w:sz w:val="22"/>
          <w:szCs w:val="24"/>
        </w:rPr>
        <w:t>:</w:t>
      </w:r>
    </w:p>
    <w:p w14:paraId="35D72E15" w14:textId="3E94CDA9" w:rsidR="00B92855" w:rsidRPr="00E20483" w:rsidRDefault="00B92855" w:rsidP="004B15D0">
      <w:pPr>
        <w:tabs>
          <w:tab w:val="left" w:pos="630"/>
        </w:tabs>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$/QALY</w:t>
      </w:r>
      <w:r w:rsidR="007174B9" w:rsidRPr="00E20483">
        <w:rPr>
          <w:rFonts w:ascii="GibsonLight" w:eastAsia="Arial Unicode MS" w:hAnsi="GibsonLight"/>
          <w:spacing w:val="12"/>
          <w:sz w:val="22"/>
          <w:szCs w:val="24"/>
        </w:rPr>
        <w:t>:</w:t>
      </w:r>
      <w:r w:rsidR="00776D62" w:rsidRPr="00E20483">
        <w:rPr>
          <w:rFonts w:ascii="GibsonLight" w:eastAsia="Arial Unicode MS" w:hAnsi="GibsonLight"/>
          <w:spacing w:val="12"/>
          <w:sz w:val="22"/>
          <w:szCs w:val="24"/>
        </w:rPr>
        <w:t xml:space="preserve"> Cost ($) per Quality-Adjusted Life Year (QALY). A comparative ratio that reports the cost associated with each additional QALY gained </w:t>
      </w:r>
      <w:r w:rsidR="002E1749" w:rsidRPr="00E20483">
        <w:rPr>
          <w:rFonts w:ascii="GibsonLight" w:eastAsia="Arial Unicode MS" w:hAnsi="GibsonLight"/>
          <w:spacing w:val="12"/>
          <w:sz w:val="22"/>
          <w:szCs w:val="24"/>
        </w:rPr>
        <w:t xml:space="preserve">(i.e. 1 year in perfect health) </w:t>
      </w:r>
      <w:r w:rsidR="00776D62" w:rsidRPr="00E20483">
        <w:rPr>
          <w:rFonts w:ascii="GibsonLight" w:eastAsia="Arial Unicode MS" w:hAnsi="GibsonLight"/>
          <w:spacing w:val="12"/>
          <w:sz w:val="22"/>
          <w:szCs w:val="24"/>
        </w:rPr>
        <w:t xml:space="preserve">when switching from a comparator to the intervention of interest. </w:t>
      </w:r>
    </w:p>
    <w:p w14:paraId="5B0C5F9F" w14:textId="2B86EBC0" w:rsidR="00776D62" w:rsidRPr="00E20483" w:rsidRDefault="00776D62" w:rsidP="004B15D0">
      <w:pPr>
        <w:tabs>
          <w:tab w:val="left" w:pos="630"/>
        </w:tabs>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$/DALY</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Cost ($) per </w:t>
      </w:r>
      <w:r w:rsidR="002E1749" w:rsidRPr="00E20483">
        <w:rPr>
          <w:rFonts w:ascii="GibsonLight" w:eastAsia="Arial Unicode MS" w:hAnsi="GibsonLight"/>
          <w:spacing w:val="12"/>
          <w:sz w:val="22"/>
          <w:szCs w:val="24"/>
        </w:rPr>
        <w:t>Disability-Adjusted Life Year</w:t>
      </w:r>
      <w:r w:rsidRPr="00E20483">
        <w:rPr>
          <w:rFonts w:ascii="GibsonLight" w:eastAsia="Arial Unicode MS" w:hAnsi="GibsonLight"/>
          <w:spacing w:val="12"/>
          <w:sz w:val="22"/>
          <w:szCs w:val="24"/>
        </w:rPr>
        <w:t xml:space="preserve"> (DALY). A comparative ratio that reports the cost associated with the loss of one year of full health. </w:t>
      </w:r>
      <w:r w:rsidR="002E1749" w:rsidRPr="00E20483">
        <w:rPr>
          <w:rFonts w:ascii="GibsonLight" w:eastAsia="Arial Unicode MS" w:hAnsi="GibsonLight"/>
          <w:spacing w:val="12"/>
          <w:sz w:val="22"/>
          <w:szCs w:val="24"/>
        </w:rPr>
        <w:t xml:space="preserve">Alternatively, </w:t>
      </w:r>
      <w:r w:rsidR="001C07C8" w:rsidRPr="00E20483">
        <w:rPr>
          <w:rFonts w:ascii="GibsonLight" w:eastAsia="Arial Unicode MS" w:hAnsi="GibsonLight"/>
          <w:spacing w:val="12"/>
          <w:sz w:val="22"/>
          <w:szCs w:val="24"/>
        </w:rPr>
        <w:t>reports the cost associated with each additional DALY averted a comparative ratio</w:t>
      </w:r>
      <w:r w:rsidR="002E1749" w:rsidRPr="00E20483">
        <w:rPr>
          <w:rFonts w:ascii="GibsonLight" w:eastAsia="Arial Unicode MS" w:hAnsi="GibsonLight"/>
          <w:spacing w:val="12"/>
          <w:sz w:val="22"/>
          <w:szCs w:val="24"/>
        </w:rPr>
        <w:t xml:space="preserve"> (i.</w:t>
      </w:r>
      <w:r w:rsidR="00034CF6" w:rsidRPr="00E20483">
        <w:rPr>
          <w:rFonts w:ascii="GibsonLight" w:eastAsia="Arial Unicode MS" w:hAnsi="GibsonLight"/>
          <w:spacing w:val="12"/>
          <w:sz w:val="22"/>
          <w:szCs w:val="24"/>
        </w:rPr>
        <w:t>e. 1 year in imperfect health).</w:t>
      </w:r>
    </w:p>
    <w:p w14:paraId="0DAEAE58" w14:textId="65B502FB" w:rsidR="00B92855" w:rsidRPr="00E20483" w:rsidRDefault="00776D62"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$/QALY and $/DALY</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Authors report both $/QALY and $/DALY results for the base case analysis.</w:t>
      </w:r>
    </w:p>
    <w:p w14:paraId="6F1F4DA9" w14:textId="720EDDFE" w:rsidR="00B92855" w:rsidRPr="00E20483" w:rsidRDefault="00B92855" w:rsidP="004B15D0">
      <w:pPr>
        <w:numPr>
          <w:ilvl w:val="0"/>
          <w:numId w:val="1"/>
        </w:numPr>
        <w:tabs>
          <w:tab w:val="num" w:pos="360"/>
        </w:tabs>
        <w:spacing w:after="120"/>
        <w:ind w:left="360"/>
        <w:rPr>
          <w:rFonts w:ascii="GibsonLight" w:eastAsia="Arial Unicode MS" w:hAnsi="GibsonLight"/>
          <w:spacing w:val="12"/>
          <w:sz w:val="22"/>
          <w:szCs w:val="24"/>
        </w:rPr>
      </w:pPr>
      <w:r w:rsidRPr="00E20483">
        <w:rPr>
          <w:rFonts w:ascii="GibsonLight" w:eastAsia="Arial Unicode MS" w:hAnsi="GibsonLight"/>
          <w:b/>
          <w:spacing w:val="12"/>
          <w:sz w:val="22"/>
          <w:szCs w:val="24"/>
        </w:rPr>
        <w:t>Affiliation of Author(s)</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The primary association or membership during time of publication for all authors. </w:t>
      </w:r>
    </w:p>
    <w:p w14:paraId="1EF34ABA" w14:textId="3D4DF1C6" w:rsidR="00B92855" w:rsidRPr="00E20483" w:rsidRDefault="00B92855"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University/Academic Organization</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 xml:space="preserve">Universities, institutes/centers, research organizations, or any other </w:t>
      </w:r>
      <w:r w:rsidR="001C07C8" w:rsidRPr="00E20483">
        <w:rPr>
          <w:rFonts w:ascii="GibsonLight" w:eastAsia="Arial Unicode MS" w:hAnsi="GibsonLight"/>
          <w:spacing w:val="12"/>
          <w:sz w:val="22"/>
          <w:szCs w:val="24"/>
        </w:rPr>
        <w:t>academic organizations,</w:t>
      </w:r>
      <w:r w:rsidRPr="00E20483">
        <w:rPr>
          <w:rFonts w:ascii="GibsonLight" w:eastAsia="Arial Unicode MS" w:hAnsi="GibsonLight"/>
          <w:spacing w:val="12"/>
          <w:sz w:val="22"/>
          <w:szCs w:val="24"/>
        </w:rPr>
        <w:t xml:space="preserve"> university affiliated hospitals (i.e. teaching hospitals and medical schools) are included</w:t>
      </w:r>
      <w:r w:rsidR="009844FE" w:rsidRPr="00E20483">
        <w:rPr>
          <w:rFonts w:ascii="GibsonLight" w:eastAsia="Arial Unicode MS" w:hAnsi="GibsonLight"/>
          <w:spacing w:val="12"/>
          <w:sz w:val="22"/>
          <w:szCs w:val="24"/>
        </w:rPr>
        <w:t>.</w:t>
      </w:r>
    </w:p>
    <w:p w14:paraId="76867EA2" w14:textId="60DB7802" w:rsidR="00B92855" w:rsidRPr="00E20483" w:rsidRDefault="00B92855"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Government Organization</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Institutes, centers, or organizations that are part of a governmental body for a single country (e.g. NIH, CDC, VA appointments, etc.)</w:t>
      </w:r>
      <w:r w:rsidR="009844FE" w:rsidRPr="00E20483">
        <w:rPr>
          <w:rFonts w:ascii="GibsonLight" w:eastAsia="Arial Unicode MS" w:hAnsi="GibsonLight"/>
          <w:spacing w:val="12"/>
          <w:sz w:val="22"/>
          <w:szCs w:val="24"/>
        </w:rPr>
        <w:t>.</w:t>
      </w:r>
    </w:p>
    <w:p w14:paraId="6FD20194" w14:textId="5764EA70" w:rsidR="00B92855" w:rsidRPr="00E20483" w:rsidRDefault="00B92855"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lastRenderedPageBreak/>
        <w:t>Intergovernmental Organization</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Organizations composed primarily of multiple sovereign states (member states) or of other intergovernmental organizations (e.g. UNAIDS, United Nations, World Bank, UNICEF, GAVI Alliance, WHO, etc.)</w:t>
      </w:r>
      <w:r w:rsidR="003673F1" w:rsidRPr="00E20483">
        <w:rPr>
          <w:rFonts w:ascii="GibsonLight" w:eastAsia="Arial Unicode MS" w:hAnsi="GibsonLight"/>
          <w:spacing w:val="12"/>
          <w:sz w:val="22"/>
          <w:szCs w:val="24"/>
        </w:rPr>
        <w:t>.</w:t>
      </w:r>
    </w:p>
    <w:p w14:paraId="77F0F99F" w14:textId="38595D81" w:rsidR="003673F1" w:rsidRPr="00E20483" w:rsidRDefault="003673F1" w:rsidP="004B15D0">
      <w:pPr>
        <w:spacing w:after="120"/>
        <w:ind w:left="720"/>
        <w:rPr>
          <w:rFonts w:ascii="GibsonLight" w:eastAsia="Arial Unicode MS" w:hAnsi="GibsonLight"/>
          <w:b/>
          <w:spacing w:val="12"/>
          <w:sz w:val="22"/>
          <w:szCs w:val="24"/>
        </w:rPr>
      </w:pPr>
      <w:r w:rsidRPr="00E20483">
        <w:rPr>
          <w:rFonts w:ascii="GibsonLight" w:eastAsia="Arial Unicode MS" w:hAnsi="GibsonLight"/>
          <w:b/>
          <w:spacing w:val="12"/>
          <w:sz w:val="22"/>
          <w:szCs w:val="24"/>
        </w:rPr>
        <w:t>Foundation/Non-profit</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Not for profit and non-governmental organizations (e.g. Robert Wood Johnson Foundation).</w:t>
      </w:r>
      <w:r w:rsidR="002E1749" w:rsidRPr="00E20483">
        <w:rPr>
          <w:rFonts w:ascii="GibsonLight" w:eastAsia="Arial Unicode MS" w:hAnsi="GibsonLight"/>
          <w:spacing w:val="12"/>
          <w:sz w:val="22"/>
          <w:szCs w:val="24"/>
        </w:rPr>
        <w:t xml:space="preserve"> </w:t>
      </w:r>
      <w:r w:rsidR="008C38E2" w:rsidRPr="00E20483">
        <w:rPr>
          <w:rFonts w:ascii="GibsonLight" w:eastAsia="Arial Unicode MS" w:hAnsi="GibsonLight"/>
          <w:spacing w:val="12"/>
          <w:sz w:val="22"/>
          <w:szCs w:val="24"/>
        </w:rPr>
        <w:t>Note</w:t>
      </w:r>
      <w:r w:rsidRPr="00E20483">
        <w:rPr>
          <w:rFonts w:ascii="GibsonLight" w:eastAsia="Arial Unicode MS" w:hAnsi="GibsonLight"/>
          <w:spacing w:val="12"/>
          <w:sz w:val="22"/>
          <w:szCs w:val="24"/>
        </w:rPr>
        <w:t xml:space="preserve"> that this category includes foundations belonging to pharmaceutical companies (e.g. PhRMA Foundation, Medtronic Foundation, etc.) as long as they are nonprofit.</w:t>
      </w:r>
    </w:p>
    <w:p w14:paraId="5CF94173" w14:textId="6D2FAEDE" w:rsidR="00B92855" w:rsidRPr="00E20483" w:rsidRDefault="00B92855"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Health Care Organization</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Health care providers (e.g. insurance companies, hospital, HMOs). This does </w:t>
      </w:r>
      <w:r w:rsidRPr="00E20483">
        <w:rPr>
          <w:rFonts w:ascii="GibsonLight" w:eastAsia="Arial Unicode MS" w:hAnsi="GibsonLight"/>
          <w:spacing w:val="12"/>
          <w:sz w:val="22"/>
          <w:szCs w:val="24"/>
          <w:u w:val="single"/>
        </w:rPr>
        <w:t>not</w:t>
      </w:r>
      <w:r w:rsidRPr="00E20483">
        <w:rPr>
          <w:rFonts w:ascii="GibsonLight" w:eastAsia="Arial Unicode MS" w:hAnsi="GibsonLight"/>
          <w:spacing w:val="12"/>
          <w:sz w:val="22"/>
          <w:szCs w:val="24"/>
        </w:rPr>
        <w:t xml:space="preserve"> include </w:t>
      </w:r>
      <w:r w:rsidR="001C07C8" w:rsidRPr="00E20483">
        <w:rPr>
          <w:rFonts w:ascii="GibsonLight" w:eastAsia="Arial Unicode MS" w:hAnsi="GibsonLight"/>
          <w:spacing w:val="12"/>
          <w:sz w:val="22"/>
          <w:szCs w:val="24"/>
        </w:rPr>
        <w:t>university-affiliated</w:t>
      </w:r>
      <w:r w:rsidRPr="00E20483">
        <w:rPr>
          <w:rFonts w:ascii="GibsonLight" w:eastAsia="Arial Unicode MS" w:hAnsi="GibsonLight"/>
          <w:spacing w:val="12"/>
          <w:sz w:val="22"/>
          <w:szCs w:val="24"/>
        </w:rPr>
        <w:t xml:space="preserve"> hospitals (i.e. teaching hospitals and medical schools)</w:t>
      </w:r>
      <w:r w:rsidR="009844FE" w:rsidRPr="00E20483">
        <w:rPr>
          <w:rFonts w:ascii="GibsonLight" w:eastAsia="Arial Unicode MS" w:hAnsi="GibsonLight"/>
          <w:spacing w:val="12"/>
          <w:sz w:val="22"/>
          <w:szCs w:val="24"/>
        </w:rPr>
        <w:t>.</w:t>
      </w:r>
    </w:p>
    <w:p w14:paraId="24689CE8" w14:textId="795BF8BB" w:rsidR="00B92855" w:rsidRPr="00E20483" w:rsidRDefault="00B92855" w:rsidP="004B15D0">
      <w:pPr>
        <w:spacing w:after="120"/>
        <w:ind w:left="720"/>
        <w:rPr>
          <w:rFonts w:ascii="GibsonLight" w:eastAsia="Arial Unicode MS" w:hAnsi="GibsonLight"/>
          <w:iCs/>
          <w:spacing w:val="12"/>
          <w:sz w:val="22"/>
          <w:szCs w:val="24"/>
        </w:rPr>
      </w:pPr>
      <w:r w:rsidRPr="00E20483">
        <w:rPr>
          <w:rFonts w:ascii="GibsonLight" w:eastAsia="Arial Unicode MS" w:hAnsi="GibsonLight"/>
          <w:b/>
          <w:spacing w:val="12"/>
          <w:sz w:val="22"/>
          <w:szCs w:val="24"/>
        </w:rPr>
        <w:t>Pharm. /Med Device Industry</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iCs/>
          <w:spacing w:val="12"/>
          <w:sz w:val="22"/>
          <w:szCs w:val="24"/>
        </w:rPr>
        <w:t>Industrial pharmaceutical companies, biotech companies, or medical device companies (e.g. Johnson and Johnson, Pfizer, Medtronic)</w:t>
      </w:r>
      <w:r w:rsidR="009844FE" w:rsidRPr="00E20483">
        <w:rPr>
          <w:rFonts w:ascii="GibsonLight" w:eastAsia="Arial Unicode MS" w:hAnsi="GibsonLight"/>
          <w:iCs/>
          <w:spacing w:val="12"/>
          <w:sz w:val="22"/>
          <w:szCs w:val="24"/>
        </w:rPr>
        <w:t>.</w:t>
      </w:r>
    </w:p>
    <w:p w14:paraId="391076D7" w14:textId="7992FE11" w:rsidR="003673F1" w:rsidRPr="00E20483" w:rsidRDefault="003673F1"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Other</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 xml:space="preserve">Other than the choices above. </w:t>
      </w:r>
      <w:r w:rsidR="008C38E2" w:rsidRPr="00E20483">
        <w:rPr>
          <w:rFonts w:ascii="GibsonLight" w:eastAsia="Arial Unicode MS" w:hAnsi="GibsonLight"/>
          <w:spacing w:val="12"/>
          <w:sz w:val="22"/>
          <w:szCs w:val="24"/>
        </w:rPr>
        <w:t>Specify</w:t>
      </w:r>
      <w:r w:rsidRPr="00E20483">
        <w:rPr>
          <w:rFonts w:ascii="GibsonLight" w:eastAsia="Arial Unicode MS" w:hAnsi="GibsonLight"/>
          <w:spacing w:val="12"/>
          <w:sz w:val="22"/>
          <w:szCs w:val="24"/>
        </w:rPr>
        <w:t xml:space="preserve"> the name of the organization(s)</w:t>
      </w:r>
      <w:r w:rsidR="009844FE" w:rsidRPr="00E20483">
        <w:rPr>
          <w:rFonts w:ascii="GibsonLight" w:eastAsia="Arial Unicode MS" w:hAnsi="GibsonLight"/>
          <w:spacing w:val="12"/>
          <w:sz w:val="22"/>
          <w:szCs w:val="24"/>
        </w:rPr>
        <w:t xml:space="preserve"> in the text field that appears.</w:t>
      </w:r>
    </w:p>
    <w:p w14:paraId="71AA3481" w14:textId="407D4663" w:rsidR="00B92855" w:rsidRPr="00E20483" w:rsidRDefault="003673F1"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None</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00B92855" w:rsidRPr="00E20483">
        <w:rPr>
          <w:rFonts w:ascii="GibsonLight" w:eastAsia="Arial Unicode MS" w:hAnsi="GibsonLight"/>
          <w:spacing w:val="12"/>
          <w:sz w:val="22"/>
          <w:szCs w:val="24"/>
        </w:rPr>
        <w:t>No affiliation information provided in the article</w:t>
      </w:r>
      <w:r w:rsidR="009844FE" w:rsidRPr="00E20483">
        <w:rPr>
          <w:rFonts w:ascii="GibsonLight" w:eastAsia="Arial Unicode MS" w:hAnsi="GibsonLight"/>
          <w:spacing w:val="12"/>
          <w:sz w:val="22"/>
          <w:szCs w:val="24"/>
        </w:rPr>
        <w:t>.</w:t>
      </w:r>
    </w:p>
    <w:p w14:paraId="3A6AE1D2" w14:textId="5582BCF4" w:rsidR="003673F1" w:rsidRPr="00E20483" w:rsidRDefault="003673F1" w:rsidP="004B15D0">
      <w:pPr>
        <w:numPr>
          <w:ilvl w:val="0"/>
          <w:numId w:val="1"/>
        </w:numPr>
        <w:tabs>
          <w:tab w:val="num" w:pos="360"/>
          <w:tab w:val="left" w:pos="630"/>
        </w:tabs>
        <w:spacing w:after="120"/>
        <w:ind w:left="270" w:hanging="270"/>
        <w:rPr>
          <w:rFonts w:ascii="GibsonLight" w:eastAsia="Arial Unicode MS" w:hAnsi="GibsonLight"/>
          <w:b/>
          <w:spacing w:val="12"/>
          <w:sz w:val="22"/>
          <w:szCs w:val="24"/>
        </w:rPr>
      </w:pPr>
      <w:r w:rsidRPr="00E20483">
        <w:rPr>
          <w:rFonts w:ascii="GibsonLight" w:eastAsia="Arial Unicode MS" w:hAnsi="GibsonLight"/>
          <w:b/>
          <w:spacing w:val="12"/>
          <w:sz w:val="22"/>
          <w:szCs w:val="24"/>
        </w:rPr>
        <w:t>Sponsorship/Funding</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iCs/>
          <w:spacing w:val="12"/>
          <w:sz w:val="22"/>
          <w:szCs w:val="24"/>
        </w:rPr>
        <w:t>All</w:t>
      </w:r>
      <w:r w:rsidRPr="00E20483">
        <w:rPr>
          <w:rFonts w:ascii="GibsonLight" w:eastAsia="Arial Unicode MS" w:hAnsi="GibsonLight"/>
          <w:spacing w:val="12"/>
          <w:sz w:val="22"/>
          <w:szCs w:val="24"/>
        </w:rPr>
        <w:t xml:space="preserve"> funding sources that supported the study. This does </w:t>
      </w:r>
      <w:r w:rsidRPr="00E20483">
        <w:rPr>
          <w:rFonts w:ascii="GibsonLight" w:eastAsia="Arial Unicode MS" w:hAnsi="GibsonLight"/>
          <w:spacing w:val="12"/>
          <w:sz w:val="22"/>
          <w:szCs w:val="24"/>
          <w:u w:val="single"/>
        </w:rPr>
        <w:t>not</w:t>
      </w:r>
      <w:r w:rsidRPr="00E20483">
        <w:rPr>
          <w:rFonts w:ascii="GibsonLight" w:eastAsia="Arial Unicode MS" w:hAnsi="GibsonLight"/>
          <w:spacing w:val="12"/>
          <w:sz w:val="22"/>
          <w:szCs w:val="24"/>
        </w:rPr>
        <w:t xml:space="preserve"> include funding sources or conflict of interests reported for individual authors.</w:t>
      </w:r>
      <w:r w:rsidR="002E1749" w:rsidRPr="00E20483">
        <w:rPr>
          <w:rFonts w:ascii="GibsonLight" w:eastAsia="Arial Unicode MS" w:hAnsi="GibsonLight"/>
          <w:spacing w:val="12"/>
          <w:sz w:val="22"/>
          <w:szCs w:val="24"/>
        </w:rPr>
        <w:t xml:space="preserve"> </w:t>
      </w:r>
    </w:p>
    <w:p w14:paraId="316607A3" w14:textId="18B444AA" w:rsidR="003673F1" w:rsidRPr="00E20483" w:rsidRDefault="003673F1" w:rsidP="004B15D0">
      <w:pPr>
        <w:spacing w:after="120"/>
        <w:ind w:left="720"/>
        <w:rPr>
          <w:rFonts w:ascii="GibsonLight" w:eastAsia="Arial Unicode MS" w:hAnsi="GibsonLight"/>
          <w:b/>
          <w:iCs/>
          <w:spacing w:val="12"/>
          <w:sz w:val="22"/>
          <w:szCs w:val="24"/>
        </w:rPr>
      </w:pPr>
      <w:r w:rsidRPr="00E20483">
        <w:rPr>
          <w:rFonts w:ascii="GibsonLight" w:eastAsia="Arial Unicode MS" w:hAnsi="GibsonLight"/>
          <w:b/>
          <w:iCs/>
          <w:spacing w:val="12"/>
          <w:sz w:val="22"/>
          <w:szCs w:val="24"/>
        </w:rPr>
        <w:t>Note</w:t>
      </w:r>
      <w:r w:rsidR="007174B9" w:rsidRPr="00E20483">
        <w:rPr>
          <w:rFonts w:ascii="GibsonLight" w:eastAsia="Arial Unicode MS" w:hAnsi="GibsonLight"/>
          <w:iCs/>
          <w:spacing w:val="12"/>
          <w:sz w:val="22"/>
          <w:szCs w:val="24"/>
        </w:rPr>
        <w:t>:</w:t>
      </w:r>
      <w:r w:rsidRPr="00E20483">
        <w:rPr>
          <w:rFonts w:ascii="GibsonLight" w:eastAsia="Arial Unicode MS" w:hAnsi="GibsonLight"/>
          <w:b/>
          <w:iCs/>
          <w:spacing w:val="12"/>
          <w:sz w:val="22"/>
          <w:szCs w:val="24"/>
        </w:rPr>
        <w:t xml:space="preserve"> See </w:t>
      </w:r>
      <w:r w:rsidR="00C56E12" w:rsidRPr="00E20483">
        <w:rPr>
          <w:rFonts w:ascii="GibsonLight" w:eastAsia="Arial Unicode MS" w:hAnsi="GibsonLight"/>
          <w:b/>
          <w:iCs/>
          <w:spacing w:val="12"/>
          <w:sz w:val="22"/>
          <w:szCs w:val="24"/>
        </w:rPr>
        <w:t xml:space="preserve">categorical descriptions for </w:t>
      </w:r>
      <w:r w:rsidRPr="00E20483">
        <w:rPr>
          <w:rFonts w:ascii="GibsonLight" w:eastAsia="Arial Unicode MS" w:hAnsi="GibsonLight"/>
          <w:b/>
          <w:iCs/>
          <w:spacing w:val="12"/>
          <w:sz w:val="22"/>
          <w:szCs w:val="24"/>
        </w:rPr>
        <w:t>author affiliation(s)</w:t>
      </w:r>
      <w:r w:rsidR="009844FE" w:rsidRPr="00E20483">
        <w:rPr>
          <w:rFonts w:ascii="GibsonLight" w:eastAsia="Arial Unicode MS" w:hAnsi="GibsonLight"/>
          <w:b/>
          <w:iCs/>
          <w:spacing w:val="12"/>
          <w:sz w:val="22"/>
          <w:szCs w:val="24"/>
        </w:rPr>
        <w:t>.</w:t>
      </w:r>
    </w:p>
    <w:p w14:paraId="079B2F81" w14:textId="77777777" w:rsidR="000C0AA9" w:rsidRPr="004F0578" w:rsidRDefault="000C0AA9" w:rsidP="004B15D0">
      <w:pPr>
        <w:spacing w:after="120"/>
        <w:ind w:left="720"/>
        <w:rPr>
          <w:rFonts w:ascii="GibsonLight" w:eastAsia="Arial Unicode MS" w:hAnsi="GibsonLight"/>
          <w:b/>
          <w:iCs/>
          <w:spacing w:val="12"/>
          <w:sz w:val="22"/>
          <w:szCs w:val="22"/>
        </w:rPr>
      </w:pPr>
    </w:p>
    <w:p w14:paraId="06B6A509" w14:textId="46F19220" w:rsidR="003B2A98" w:rsidRPr="009278C6" w:rsidRDefault="003B2A98" w:rsidP="004B15D0">
      <w:pPr>
        <w:pStyle w:val="Heading3"/>
        <w:numPr>
          <w:ilvl w:val="0"/>
          <w:numId w:val="0"/>
        </w:numPr>
        <w:spacing w:after="120"/>
        <w:rPr>
          <w:rFonts w:ascii="GibsonLight" w:eastAsia="Arial Unicode MS" w:hAnsi="GibsonLight"/>
          <w:spacing w:val="12"/>
          <w:sz w:val="32"/>
          <w:szCs w:val="24"/>
        </w:rPr>
      </w:pPr>
      <w:bookmarkStart w:id="12" w:name="_Toc100072030"/>
      <w:r w:rsidRPr="009278C6">
        <w:rPr>
          <w:rFonts w:ascii="GibsonLight" w:eastAsia="Arial Unicode MS" w:hAnsi="GibsonLight"/>
          <w:spacing w:val="12"/>
          <w:sz w:val="32"/>
          <w:szCs w:val="24"/>
        </w:rPr>
        <w:t>Intervention</w:t>
      </w:r>
      <w:bookmarkEnd w:id="12"/>
    </w:p>
    <w:p w14:paraId="4704ECA8" w14:textId="6CC217D0" w:rsidR="00146366" w:rsidRPr="00E20483" w:rsidRDefault="00220D1C" w:rsidP="004B15D0">
      <w:pPr>
        <w:numPr>
          <w:ilvl w:val="0"/>
          <w:numId w:val="1"/>
        </w:numPr>
        <w:tabs>
          <w:tab w:val="num" w:pos="360"/>
          <w:tab w:val="left" w:pos="630"/>
        </w:tabs>
        <w:spacing w:after="120"/>
        <w:ind w:left="270" w:hanging="270"/>
        <w:rPr>
          <w:rFonts w:ascii="GibsonLight" w:eastAsia="Arial Unicode MS" w:hAnsi="GibsonLight"/>
          <w:b/>
          <w:spacing w:val="12"/>
          <w:sz w:val="22"/>
          <w:szCs w:val="22"/>
        </w:rPr>
      </w:pPr>
      <w:r w:rsidRPr="00E20483">
        <w:rPr>
          <w:rFonts w:ascii="GibsonLight" w:eastAsia="Arial Unicode MS" w:hAnsi="GibsonLight"/>
          <w:b/>
          <w:spacing w:val="12"/>
          <w:sz w:val="22"/>
          <w:szCs w:val="22"/>
        </w:rPr>
        <w:t>Intervention Description</w:t>
      </w:r>
      <w:r w:rsidR="007174B9" w:rsidRPr="00E20483">
        <w:rPr>
          <w:rFonts w:ascii="GibsonLight" w:eastAsia="Arial Unicode MS" w:hAnsi="GibsonLight"/>
          <w:spacing w:val="12"/>
          <w:sz w:val="22"/>
          <w:szCs w:val="22"/>
        </w:rPr>
        <w:t>:</w:t>
      </w:r>
      <w:r w:rsidR="00C56E12" w:rsidRPr="00E20483">
        <w:rPr>
          <w:rFonts w:ascii="GibsonLight" w:eastAsia="Arial Unicode MS" w:hAnsi="GibsonLight"/>
          <w:spacing w:val="12"/>
          <w:sz w:val="22"/>
          <w:szCs w:val="22"/>
        </w:rPr>
        <w:t xml:space="preserve"> A concise description of the p</w:t>
      </w:r>
      <w:r w:rsidR="004F0578" w:rsidRPr="00E20483">
        <w:rPr>
          <w:rFonts w:ascii="GibsonLight" w:eastAsia="Arial Unicode MS" w:hAnsi="GibsonLight"/>
          <w:spacing w:val="12"/>
          <w:sz w:val="22"/>
          <w:szCs w:val="22"/>
        </w:rPr>
        <w:t xml:space="preserve">rimary intervention(s) </w:t>
      </w:r>
      <w:r w:rsidR="00C56E12" w:rsidRPr="00E20483">
        <w:rPr>
          <w:rFonts w:ascii="GibsonLight" w:eastAsia="Arial Unicode MS" w:hAnsi="GibsonLight"/>
          <w:spacing w:val="12"/>
          <w:sz w:val="22"/>
          <w:szCs w:val="22"/>
        </w:rPr>
        <w:t xml:space="preserve">evaluated in the base case analysis. </w:t>
      </w:r>
    </w:p>
    <w:p w14:paraId="5BD4DAE5" w14:textId="3B708F7D" w:rsidR="00220D1C" w:rsidRPr="00E20483" w:rsidRDefault="00220D1C" w:rsidP="004B15D0">
      <w:pPr>
        <w:numPr>
          <w:ilvl w:val="0"/>
          <w:numId w:val="1"/>
        </w:numPr>
        <w:tabs>
          <w:tab w:val="num" w:pos="360"/>
          <w:tab w:val="left" w:pos="630"/>
        </w:tabs>
        <w:spacing w:after="120"/>
        <w:ind w:left="270" w:hanging="270"/>
        <w:rPr>
          <w:rFonts w:ascii="GibsonLight" w:eastAsia="Arial Unicode MS" w:hAnsi="GibsonLight"/>
          <w:spacing w:val="12"/>
          <w:sz w:val="22"/>
          <w:szCs w:val="22"/>
        </w:rPr>
      </w:pPr>
      <w:r w:rsidRPr="00E20483">
        <w:rPr>
          <w:rFonts w:ascii="GibsonLight" w:eastAsia="Arial Unicode MS" w:hAnsi="GibsonLight"/>
          <w:b/>
          <w:spacing w:val="12"/>
          <w:sz w:val="22"/>
          <w:szCs w:val="22"/>
        </w:rPr>
        <w:t>Intervention types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This reflects the p</w:t>
      </w:r>
      <w:r w:rsidR="004F0578" w:rsidRPr="00E20483">
        <w:rPr>
          <w:rFonts w:ascii="GibsonLight" w:eastAsia="Arial Unicode MS" w:hAnsi="GibsonLight"/>
          <w:spacing w:val="12"/>
          <w:sz w:val="22"/>
          <w:szCs w:val="22"/>
        </w:rPr>
        <w:t xml:space="preserve">rimary intervention(s) </w:t>
      </w:r>
      <w:r w:rsidRPr="00E20483">
        <w:rPr>
          <w:rFonts w:ascii="GibsonLight" w:eastAsia="Arial Unicode MS" w:hAnsi="GibsonLight"/>
          <w:spacing w:val="12"/>
          <w:sz w:val="22"/>
          <w:szCs w:val="22"/>
        </w:rPr>
        <w:t>evaluated</w:t>
      </w:r>
      <w:r w:rsidR="00512724" w:rsidRPr="00E20483">
        <w:rPr>
          <w:rFonts w:ascii="GibsonLight" w:eastAsia="Arial Unicode MS" w:hAnsi="GibsonLight"/>
          <w:spacing w:val="12"/>
          <w:sz w:val="22"/>
          <w:szCs w:val="22"/>
        </w:rPr>
        <w:t xml:space="preserve"> in the base case analysis</w:t>
      </w:r>
      <w:r w:rsidRPr="00E20483">
        <w:rPr>
          <w:rFonts w:ascii="GibsonLight" w:eastAsia="Arial Unicode MS" w:hAnsi="GibsonLight"/>
          <w:spacing w:val="12"/>
          <w:sz w:val="22"/>
          <w:szCs w:val="22"/>
        </w:rPr>
        <w:t xml:space="preserve">. </w:t>
      </w:r>
      <w:r w:rsidR="00512724" w:rsidRPr="00E20483">
        <w:rPr>
          <w:rFonts w:ascii="GibsonLight" w:eastAsia="Arial Unicode MS" w:hAnsi="GibsonLight"/>
          <w:spacing w:val="12"/>
          <w:sz w:val="22"/>
          <w:szCs w:val="22"/>
        </w:rPr>
        <w:t>A single study can analyze</w:t>
      </w:r>
      <w:r w:rsidRPr="00E20483">
        <w:rPr>
          <w:rFonts w:ascii="GibsonLight" w:eastAsia="Arial Unicode MS" w:hAnsi="GibsonLight"/>
          <w:spacing w:val="12"/>
          <w:sz w:val="22"/>
          <w:szCs w:val="22"/>
        </w:rPr>
        <w:t xml:space="preserve"> intervention</w:t>
      </w:r>
      <w:r w:rsidR="00512724" w:rsidRPr="00E20483">
        <w:rPr>
          <w:rFonts w:ascii="GibsonLight" w:eastAsia="Arial Unicode MS" w:hAnsi="GibsonLight"/>
          <w:spacing w:val="12"/>
          <w:sz w:val="22"/>
          <w:szCs w:val="22"/>
        </w:rPr>
        <w:t>(s)</w:t>
      </w:r>
      <w:r w:rsidRPr="00E20483">
        <w:rPr>
          <w:rFonts w:ascii="GibsonLight" w:eastAsia="Arial Unicode MS" w:hAnsi="GibsonLight"/>
          <w:spacing w:val="12"/>
          <w:sz w:val="22"/>
          <w:szCs w:val="22"/>
        </w:rPr>
        <w:t xml:space="preserve"> that pertain to multiple intervention categories (</w:t>
      </w:r>
      <w:r w:rsidR="00512724" w:rsidRPr="00E20483">
        <w:rPr>
          <w:rFonts w:ascii="GibsonLight" w:eastAsia="Arial Unicode MS" w:hAnsi="GibsonLight"/>
          <w:spacing w:val="12"/>
          <w:sz w:val="22"/>
          <w:szCs w:val="22"/>
        </w:rPr>
        <w:t xml:space="preserve">i.e. </w:t>
      </w:r>
      <w:r w:rsidRPr="00E20483">
        <w:rPr>
          <w:rFonts w:ascii="GibsonLight" w:eastAsia="Arial Unicode MS" w:hAnsi="GibsonLight"/>
          <w:spacing w:val="12"/>
          <w:sz w:val="22"/>
          <w:szCs w:val="22"/>
        </w:rPr>
        <w:t>categories are not mutually exclusive).</w:t>
      </w:r>
    </w:p>
    <w:p w14:paraId="0FDE73F6" w14:textId="6D1887D0" w:rsidR="00220D1C" w:rsidRPr="00E20483" w:rsidRDefault="00220D1C"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Care Delivery</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Provision of care, the activity of supplying or providing care in a particular setting, development of facility or distribution of personnel (e.g. implementing telemedicine/telehealth methods, a policy that changes the nurse-to-patient ratio, patient self-management program)</w:t>
      </w:r>
      <w:r w:rsidR="00B266CE" w:rsidRPr="00E20483">
        <w:rPr>
          <w:rFonts w:ascii="GibsonLight" w:eastAsia="Arial Unicode MS" w:hAnsi="GibsonLight"/>
          <w:spacing w:val="12"/>
          <w:sz w:val="22"/>
          <w:szCs w:val="22"/>
        </w:rPr>
        <w:t>.</w:t>
      </w:r>
    </w:p>
    <w:p w14:paraId="49E68AF6" w14:textId="520D6212" w:rsidR="004F2728" w:rsidRPr="00E20483" w:rsidRDefault="004F2728"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Diagnostic</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5E2A55" w:rsidRPr="00E20483">
        <w:rPr>
          <w:rFonts w:ascii="GibsonLight" w:eastAsia="Arial Unicode MS" w:hAnsi="GibsonLight"/>
          <w:spacing w:val="12"/>
          <w:sz w:val="22"/>
          <w:szCs w:val="22"/>
        </w:rPr>
        <w:t>Measures</w:t>
      </w:r>
      <w:r w:rsidRPr="00E20483">
        <w:rPr>
          <w:rFonts w:ascii="GibsonLight" w:eastAsia="Arial Unicode MS" w:hAnsi="GibsonLight"/>
          <w:spacing w:val="12"/>
          <w:sz w:val="22"/>
          <w:szCs w:val="22"/>
        </w:rPr>
        <w:t xml:space="preserve"> used to determine if and what type of disease is present; diagnostic procedure assumes patients are symptomatic or are suspected of having the diagnosable disease/condition (e.g. imaging, biopsy, PET scan, x-rays, in-vitro testing)</w:t>
      </w:r>
      <w:r w:rsidR="00B266CE" w:rsidRPr="00E20483">
        <w:rPr>
          <w:rFonts w:ascii="GibsonLight" w:eastAsia="Arial Unicode MS" w:hAnsi="GibsonLight"/>
          <w:spacing w:val="12"/>
          <w:sz w:val="22"/>
          <w:szCs w:val="22"/>
        </w:rPr>
        <w:t>.</w:t>
      </w:r>
    </w:p>
    <w:p w14:paraId="16B0F592" w14:textId="5950BB1E" w:rsidR="004F2728" w:rsidRPr="00E20483" w:rsidRDefault="004F2728"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Environmental</w:t>
      </w:r>
      <w:r w:rsidR="008A4CA2">
        <w:rPr>
          <w:rFonts w:ascii="GibsonLight" w:eastAsia="Arial Unicode MS" w:hAnsi="GibsonLight"/>
          <w:b/>
          <w:spacing w:val="12"/>
          <w:sz w:val="22"/>
          <w:szCs w:val="22"/>
        </w:rPr>
        <w:t xml:space="preserve"> </w:t>
      </w:r>
      <w:r w:rsidR="008A4CA2">
        <w:rPr>
          <w:rFonts w:ascii="GibsonLight" w:eastAsia="Arial Unicode MS" w:hAnsi="GibsonLight"/>
          <w:b/>
          <w:spacing w:val="12"/>
          <w:sz w:val="22"/>
          <w:szCs w:val="22"/>
        </w:rPr>
        <w:t>(Available for DALY studies only until 2021)</w:t>
      </w:r>
      <w:bookmarkStart w:id="13" w:name="_GoBack"/>
      <w:bookmarkEnd w:id="13"/>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Interventions aimed at removal of contamination from water bodies, soil or othe</w:t>
      </w:r>
      <w:r w:rsidR="00B266CE" w:rsidRPr="00E20483">
        <w:rPr>
          <w:rFonts w:ascii="GibsonLight" w:eastAsia="Arial Unicode MS" w:hAnsi="GibsonLight"/>
          <w:spacing w:val="12"/>
          <w:sz w:val="22"/>
          <w:szCs w:val="22"/>
        </w:rPr>
        <w:t xml:space="preserve">r areas to improve human health (e.g. </w:t>
      </w:r>
      <w:r w:rsidRPr="00E20483">
        <w:rPr>
          <w:rFonts w:ascii="GibsonLight" w:eastAsia="Arial Unicode MS" w:hAnsi="GibsonLight"/>
          <w:spacing w:val="12"/>
          <w:sz w:val="22"/>
          <w:szCs w:val="22"/>
        </w:rPr>
        <w:t>measures to address pollution or to protect water supplies</w:t>
      </w:r>
      <w:r w:rsidR="00B266CE"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Interventions to inhibit or limit environmental threats to health</w:t>
      </w:r>
      <w:r w:rsidR="00B266CE" w:rsidRPr="00E20483">
        <w:rPr>
          <w:rFonts w:ascii="GibsonLight" w:eastAsia="Arial Unicode MS" w:hAnsi="GibsonLight"/>
          <w:spacing w:val="12"/>
          <w:sz w:val="22"/>
          <w:szCs w:val="22"/>
        </w:rPr>
        <w:t xml:space="preserve"> (e.g. pro</w:t>
      </w:r>
      <w:r w:rsidRPr="00E20483">
        <w:rPr>
          <w:rFonts w:ascii="GibsonLight" w:eastAsia="Arial Unicode MS" w:hAnsi="GibsonLight"/>
          <w:spacing w:val="12"/>
          <w:sz w:val="22"/>
          <w:szCs w:val="22"/>
        </w:rPr>
        <w:t>vision of bed nets to reduce the risk of arthropod-vector infections</w:t>
      </w:r>
      <w:r w:rsidR="00B266CE" w:rsidRPr="00E20483">
        <w:rPr>
          <w:rFonts w:ascii="GibsonLight" w:eastAsia="Arial Unicode MS" w:hAnsi="GibsonLight"/>
          <w:spacing w:val="12"/>
          <w:sz w:val="22"/>
          <w:szCs w:val="22"/>
        </w:rPr>
        <w:t>).</w:t>
      </w:r>
    </w:p>
    <w:p w14:paraId="64136601" w14:textId="35C856C1" w:rsidR="00220D1C" w:rsidRPr="00E20483" w:rsidRDefault="00220D1C"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Health Education or Behavior</w:t>
      </w:r>
      <w:r w:rsidR="007174B9" w:rsidRPr="00E20483">
        <w:rPr>
          <w:rFonts w:ascii="GibsonLight" w:eastAsia="Arial Unicode MS" w:hAnsi="GibsonLight"/>
          <w:spacing w:val="12"/>
          <w:sz w:val="22"/>
          <w:szCs w:val="22"/>
        </w:rPr>
        <w:t>:</w:t>
      </w:r>
      <w:r w:rsidR="005E2A55" w:rsidRPr="00E20483">
        <w:rPr>
          <w:rFonts w:ascii="GibsonLight" w:eastAsia="Arial Unicode MS" w:hAnsi="GibsonLight"/>
          <w:spacing w:val="12"/>
          <w:sz w:val="22"/>
          <w:szCs w:val="22"/>
        </w:rPr>
        <w:t xml:space="preserve"> I</w:t>
      </w:r>
      <w:r w:rsidRPr="00E20483">
        <w:rPr>
          <w:rFonts w:ascii="GibsonLight" w:eastAsia="Arial Unicode MS" w:hAnsi="GibsonLight"/>
          <w:spacing w:val="12"/>
          <w:sz w:val="22"/>
          <w:szCs w:val="22"/>
        </w:rPr>
        <w:t>ntervention</w:t>
      </w:r>
      <w:r w:rsidR="005E2A55" w:rsidRPr="00E20483">
        <w:rPr>
          <w:rFonts w:ascii="GibsonLight" w:eastAsia="Arial Unicode MS" w:hAnsi="GibsonLight"/>
          <w:spacing w:val="12"/>
          <w:sz w:val="22"/>
          <w:szCs w:val="22"/>
        </w:rPr>
        <w:t>s</w:t>
      </w:r>
      <w:r w:rsidRPr="00E20483">
        <w:rPr>
          <w:rFonts w:ascii="GibsonLight" w:eastAsia="Arial Unicode MS" w:hAnsi="GibsonLight"/>
          <w:spacing w:val="12"/>
          <w:sz w:val="22"/>
          <w:szCs w:val="22"/>
        </w:rPr>
        <w:t xml:space="preserve"> designed to educate individuals on behaviors that promote, maintain or restore health (e.g. smoking cessation and prevention program, cognitive behavioral therapy)</w:t>
      </w:r>
      <w:r w:rsidR="004F2728" w:rsidRPr="00E20483">
        <w:rPr>
          <w:rFonts w:ascii="GibsonLight" w:eastAsia="Arial Unicode MS" w:hAnsi="GibsonLight"/>
          <w:spacing w:val="12"/>
          <w:sz w:val="22"/>
          <w:szCs w:val="22"/>
        </w:rPr>
        <w:t>. Interventions to treat an individual’s psychological development in and interactio</w:t>
      </w:r>
      <w:r w:rsidR="005E2A55" w:rsidRPr="00E20483">
        <w:rPr>
          <w:rFonts w:ascii="GibsonLight" w:eastAsia="Arial Unicode MS" w:hAnsi="GibsonLight"/>
          <w:spacing w:val="12"/>
          <w:sz w:val="22"/>
          <w:szCs w:val="22"/>
        </w:rPr>
        <w:t>n with their social environment (e.g.</w:t>
      </w:r>
      <w:r w:rsidR="004F2728" w:rsidRPr="00E20483">
        <w:rPr>
          <w:rFonts w:ascii="GibsonLight" w:eastAsia="Arial Unicode MS" w:hAnsi="GibsonLight"/>
          <w:spacing w:val="12"/>
          <w:sz w:val="22"/>
          <w:szCs w:val="22"/>
        </w:rPr>
        <w:t xml:space="preserve"> structured counseling, motivational enhancement, psychotherapy, cognitive behavioral therapy</w:t>
      </w:r>
      <w:r w:rsidR="005E2A55" w:rsidRPr="00E20483">
        <w:rPr>
          <w:rFonts w:ascii="GibsonLight" w:eastAsia="Arial Unicode MS" w:hAnsi="GibsonLight"/>
          <w:spacing w:val="12"/>
          <w:sz w:val="22"/>
          <w:szCs w:val="22"/>
        </w:rPr>
        <w:t>).</w:t>
      </w:r>
    </w:p>
    <w:p w14:paraId="37DDE323" w14:textId="61B4F364" w:rsidR="004F2728" w:rsidRPr="00E20483" w:rsidRDefault="004F2728"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Immunization</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Vaccination</w:t>
      </w:r>
      <w:r w:rsidR="005E2A55" w:rsidRPr="00E20483">
        <w:rPr>
          <w:rFonts w:ascii="GibsonLight" w:eastAsia="Arial Unicode MS" w:hAnsi="GibsonLight"/>
          <w:spacing w:val="12"/>
          <w:sz w:val="22"/>
          <w:szCs w:val="22"/>
        </w:rPr>
        <w:t>s</w:t>
      </w:r>
      <w:r w:rsidRPr="00E20483">
        <w:rPr>
          <w:rFonts w:ascii="GibsonLight" w:eastAsia="Arial Unicode MS" w:hAnsi="GibsonLight"/>
          <w:spacing w:val="12"/>
          <w:sz w:val="22"/>
          <w:szCs w:val="22"/>
        </w:rPr>
        <w:t xml:space="preserve"> intended to prevent infectious disease (e.g. flu vaccine, HPV vaccine)</w:t>
      </w:r>
    </w:p>
    <w:p w14:paraId="565F7E18" w14:textId="5CB8AD54" w:rsidR="004F2728" w:rsidRPr="00E20483" w:rsidRDefault="004F2728"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lastRenderedPageBreak/>
        <w:t>Legislation/Regulation</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Taxes and regulatory measures that influence access to certain foods and other consumed substances </w:t>
      </w:r>
      <w:r w:rsidR="005E2A55" w:rsidRPr="00E20483">
        <w:rPr>
          <w:rFonts w:ascii="GibsonLight" w:eastAsia="Arial Unicode MS" w:hAnsi="GibsonLight"/>
          <w:spacing w:val="12"/>
          <w:sz w:val="22"/>
          <w:szCs w:val="22"/>
        </w:rPr>
        <w:t>(e.g.</w:t>
      </w:r>
      <w:r w:rsidRPr="00E20483">
        <w:rPr>
          <w:rFonts w:ascii="GibsonLight" w:eastAsia="Arial Unicode MS" w:hAnsi="GibsonLight"/>
          <w:spacing w:val="12"/>
          <w:sz w:val="22"/>
          <w:szCs w:val="22"/>
        </w:rPr>
        <w:t xml:space="preserve"> alcohol taxation, taxation of soft drinks, and</w:t>
      </w:r>
      <w:r w:rsidR="005E2A55" w:rsidRPr="00E20483">
        <w:rPr>
          <w:rFonts w:ascii="GibsonLight" w:eastAsia="Arial Unicode MS" w:hAnsi="GibsonLight"/>
          <w:spacing w:val="12"/>
          <w:sz w:val="22"/>
          <w:szCs w:val="22"/>
        </w:rPr>
        <w:t xml:space="preserve"> controls on the use of tobacco).</w:t>
      </w:r>
    </w:p>
    <w:p w14:paraId="36B3B8D8" w14:textId="608F82C3" w:rsidR="004F2728" w:rsidRPr="00E20483" w:rsidRDefault="004F2728"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Maternal/Neonatal/Reproductive Care</w:t>
      </w:r>
      <w:r w:rsidR="008A4CA2">
        <w:rPr>
          <w:rFonts w:ascii="GibsonLight" w:eastAsia="Arial Unicode MS" w:hAnsi="GibsonLight"/>
          <w:b/>
          <w:spacing w:val="12"/>
          <w:sz w:val="22"/>
          <w:szCs w:val="22"/>
        </w:rPr>
        <w:t xml:space="preserve"> (Available for DALY studies only until 2021)</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Interventions to address maternal care received at antenatal visits, at delivery, and for neonates</w:t>
      </w:r>
      <w:r w:rsidR="005E2A55" w:rsidRPr="00E20483">
        <w:rPr>
          <w:rFonts w:ascii="GibsonLight" w:eastAsia="Arial Unicode MS" w:hAnsi="GibsonLight"/>
          <w:spacing w:val="12"/>
          <w:sz w:val="22"/>
          <w:szCs w:val="22"/>
        </w:rPr>
        <w:t xml:space="preserve"> (e.g.</w:t>
      </w:r>
      <w:r w:rsidRPr="00E20483">
        <w:rPr>
          <w:rFonts w:ascii="GibsonLight" w:eastAsia="Arial Unicode MS" w:hAnsi="GibsonLight"/>
          <w:spacing w:val="12"/>
          <w:sz w:val="22"/>
          <w:szCs w:val="22"/>
        </w:rPr>
        <w:t xml:space="preserve"> skilled attendance at birth, screening for pre-eclampsia, care during </w:t>
      </w:r>
      <w:r w:rsidR="004F0578" w:rsidRPr="00E20483">
        <w:rPr>
          <w:rFonts w:ascii="GibsonLight" w:eastAsia="Arial Unicode MS" w:hAnsi="GibsonLight"/>
          <w:spacing w:val="12"/>
          <w:sz w:val="22"/>
          <w:szCs w:val="22"/>
        </w:rPr>
        <w:t>childbirth</w:t>
      </w:r>
      <w:r w:rsidRPr="00E20483">
        <w:rPr>
          <w:rFonts w:ascii="GibsonLight" w:eastAsia="Arial Unicode MS" w:hAnsi="GibsonLight"/>
          <w:spacing w:val="12"/>
          <w:sz w:val="22"/>
          <w:szCs w:val="22"/>
        </w:rPr>
        <w:t>, and screening for congenital diseases</w:t>
      </w:r>
      <w:r w:rsidR="005E2A55"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5E2A55" w:rsidRPr="00E20483">
        <w:rPr>
          <w:rFonts w:ascii="GibsonLight" w:eastAsia="Arial Unicode MS" w:hAnsi="GibsonLight"/>
          <w:spacing w:val="12"/>
          <w:sz w:val="22"/>
          <w:szCs w:val="22"/>
        </w:rPr>
        <w:t>This in</w:t>
      </w:r>
      <w:r w:rsidRPr="00E20483">
        <w:rPr>
          <w:rFonts w:ascii="GibsonLight" w:eastAsia="Arial Unicode MS" w:hAnsi="GibsonLight"/>
          <w:spacing w:val="12"/>
          <w:sz w:val="22"/>
          <w:szCs w:val="22"/>
        </w:rPr>
        <w:t>cludes interventions such as family planning and contraceptives</w:t>
      </w:r>
      <w:r w:rsidR="005E2A55" w:rsidRPr="00E20483">
        <w:rPr>
          <w:rFonts w:ascii="GibsonLight" w:eastAsia="Arial Unicode MS" w:hAnsi="GibsonLight"/>
          <w:spacing w:val="12"/>
          <w:sz w:val="22"/>
          <w:szCs w:val="22"/>
        </w:rPr>
        <w:t>.</w:t>
      </w:r>
    </w:p>
    <w:p w14:paraId="0046B5E3" w14:textId="4A988D68" w:rsidR="004F2728" w:rsidRPr="00E20483" w:rsidRDefault="004F2728" w:rsidP="004B15D0">
      <w:pPr>
        <w:spacing w:after="120"/>
        <w:ind w:left="720"/>
        <w:rPr>
          <w:rFonts w:ascii="GibsonLight" w:eastAsia="Arial Unicode MS" w:hAnsi="GibsonLight"/>
          <w:b/>
          <w:bCs/>
          <w:spacing w:val="12"/>
          <w:sz w:val="22"/>
          <w:szCs w:val="22"/>
        </w:rPr>
      </w:pPr>
      <w:r w:rsidRPr="00E20483">
        <w:rPr>
          <w:rFonts w:ascii="GibsonLight" w:eastAsia="Arial Unicode MS" w:hAnsi="GibsonLight"/>
          <w:b/>
          <w:spacing w:val="12"/>
          <w:sz w:val="22"/>
          <w:szCs w:val="22"/>
        </w:rPr>
        <w:t>Medical Device</w:t>
      </w:r>
      <w:r w:rsidR="007174B9" w:rsidRPr="00E20483">
        <w:rPr>
          <w:rFonts w:ascii="GibsonLight" w:eastAsia="Arial Unicode MS" w:hAnsi="GibsonLight"/>
          <w:spacing w:val="12"/>
          <w:sz w:val="22"/>
          <w:szCs w:val="22"/>
        </w:rPr>
        <w:t>:</w:t>
      </w:r>
      <w:r w:rsidR="004F0578" w:rsidRPr="00E20483">
        <w:rPr>
          <w:rFonts w:ascii="GibsonLight" w:eastAsia="Arial Unicode MS" w:hAnsi="GibsonLight"/>
          <w:spacing w:val="12"/>
          <w:sz w:val="22"/>
          <w:szCs w:val="22"/>
        </w:rPr>
        <w:t xml:space="preserve"> I</w:t>
      </w:r>
      <w:r w:rsidRPr="00E20483">
        <w:rPr>
          <w:rFonts w:ascii="GibsonLight" w:eastAsia="Arial Unicode MS" w:hAnsi="GibsonLight"/>
          <w:spacing w:val="12"/>
          <w:sz w:val="22"/>
          <w:szCs w:val="22"/>
        </w:rPr>
        <w:t>nstrument, apparatus, implant, in vitro reag</w:t>
      </w:r>
      <w:r w:rsidR="004F0578" w:rsidRPr="00E20483">
        <w:rPr>
          <w:rFonts w:ascii="GibsonLight" w:eastAsia="Arial Unicode MS" w:hAnsi="GibsonLight"/>
          <w:spacing w:val="12"/>
          <w:sz w:val="22"/>
          <w:szCs w:val="22"/>
        </w:rPr>
        <w:t xml:space="preserve">ent, or similar article </w:t>
      </w:r>
      <w:r w:rsidRPr="00E20483">
        <w:rPr>
          <w:rFonts w:ascii="GibsonLight" w:eastAsia="Arial Unicode MS" w:hAnsi="GibsonLight"/>
          <w:spacing w:val="12"/>
          <w:sz w:val="22"/>
          <w:szCs w:val="22"/>
        </w:rPr>
        <w:t>used to diagnose, prevent, or treat diseases or other conditions</w:t>
      </w:r>
      <w:r w:rsidR="005E2A55" w:rsidRPr="00E20483">
        <w:rPr>
          <w:rFonts w:ascii="GibsonLight" w:eastAsia="Arial Unicode MS" w:hAnsi="GibsonLight"/>
          <w:spacing w:val="12"/>
          <w:sz w:val="22"/>
          <w:szCs w:val="22"/>
        </w:rPr>
        <w:t>. This</w:t>
      </w:r>
      <w:r w:rsidRPr="00E20483">
        <w:rPr>
          <w:rFonts w:ascii="GibsonLight" w:eastAsia="Arial Unicode MS" w:hAnsi="GibsonLight"/>
          <w:spacing w:val="12"/>
          <w:sz w:val="22"/>
          <w:szCs w:val="22"/>
        </w:rPr>
        <w:t xml:space="preserve"> can range from simple tongue depressors and bedpans to complex programmable pacema</w:t>
      </w:r>
      <w:r w:rsidR="005E2A55" w:rsidRPr="00E20483">
        <w:rPr>
          <w:rFonts w:ascii="GibsonLight" w:eastAsia="Arial Unicode MS" w:hAnsi="GibsonLight"/>
          <w:spacing w:val="12"/>
          <w:sz w:val="22"/>
          <w:szCs w:val="22"/>
        </w:rPr>
        <w:t>kers and laser surgical devices.</w:t>
      </w:r>
    </w:p>
    <w:p w14:paraId="412D7C80" w14:textId="59759EF4" w:rsidR="004F2728" w:rsidRPr="00E20483" w:rsidRDefault="004F2728"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Medical Procedure</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Non-surgical, non-diagnostic procedures; an activity directed at or performed on an individual with the object of improving health, or treating disease or injury (e.g. angiogram, blood donation, mole removal, casting or splinting of broken bones)</w:t>
      </w:r>
      <w:r w:rsidR="005E2A55" w:rsidRPr="00E20483">
        <w:rPr>
          <w:rFonts w:ascii="GibsonLight" w:eastAsia="Arial Unicode MS" w:hAnsi="GibsonLight"/>
          <w:spacing w:val="12"/>
          <w:sz w:val="22"/>
          <w:szCs w:val="22"/>
        </w:rPr>
        <w:t>.</w:t>
      </w:r>
    </w:p>
    <w:p w14:paraId="573D12B2" w14:textId="748E6AE7" w:rsidR="00220D1C" w:rsidRPr="00E20483" w:rsidRDefault="00220D1C"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Pharmaceutical</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5E2A55" w:rsidRPr="00E20483">
        <w:rPr>
          <w:rFonts w:ascii="GibsonLight" w:eastAsia="Arial Unicode MS" w:hAnsi="GibsonLight"/>
          <w:spacing w:val="12"/>
          <w:sz w:val="22"/>
          <w:szCs w:val="22"/>
        </w:rPr>
        <w:t>D</w:t>
      </w:r>
      <w:r w:rsidRPr="00E20483">
        <w:rPr>
          <w:rFonts w:ascii="GibsonLight" w:eastAsia="Arial Unicode MS" w:hAnsi="GibsonLight"/>
          <w:spacing w:val="12"/>
          <w:sz w:val="22"/>
          <w:szCs w:val="22"/>
        </w:rPr>
        <w:t>rug or biotech product</w:t>
      </w:r>
      <w:r w:rsidR="005E2A55" w:rsidRPr="00E20483">
        <w:rPr>
          <w:rFonts w:ascii="GibsonLight" w:eastAsia="Arial Unicode MS" w:hAnsi="GibsonLight"/>
          <w:spacing w:val="12"/>
          <w:sz w:val="22"/>
          <w:szCs w:val="22"/>
        </w:rPr>
        <w:t>s</w:t>
      </w:r>
      <w:r w:rsidRPr="00E20483">
        <w:rPr>
          <w:rFonts w:ascii="GibsonLight" w:eastAsia="Arial Unicode MS" w:hAnsi="GibsonLight"/>
          <w:spacing w:val="12"/>
          <w:sz w:val="22"/>
          <w:szCs w:val="22"/>
        </w:rPr>
        <w:t xml:space="preserve"> used for medical treatment or prevention that is not an immunization (e.g. Lovastatin, Herceptin)</w:t>
      </w:r>
    </w:p>
    <w:p w14:paraId="36C3AA40" w14:textId="2D191271" w:rsidR="004F2728" w:rsidRPr="00E20483" w:rsidRDefault="004F2728"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Screening</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5E2A55" w:rsidRPr="00E20483">
        <w:rPr>
          <w:rFonts w:ascii="GibsonLight" w:eastAsia="Arial Unicode MS" w:hAnsi="GibsonLight"/>
          <w:spacing w:val="12"/>
          <w:sz w:val="22"/>
          <w:szCs w:val="22"/>
        </w:rPr>
        <w:t>Measures</w:t>
      </w:r>
      <w:r w:rsidRPr="00E20483">
        <w:rPr>
          <w:rFonts w:ascii="GibsonLight" w:eastAsia="Arial Unicode MS" w:hAnsi="GibsonLight"/>
          <w:spacing w:val="12"/>
          <w:sz w:val="22"/>
          <w:szCs w:val="22"/>
        </w:rPr>
        <w:t xml:space="preserve"> that detect disease</w:t>
      </w:r>
      <w:r w:rsidR="005E2A55" w:rsidRPr="00E20483">
        <w:rPr>
          <w:rFonts w:ascii="GibsonLight" w:eastAsia="Arial Unicode MS" w:hAnsi="GibsonLight"/>
          <w:spacing w:val="12"/>
          <w:sz w:val="22"/>
          <w:szCs w:val="22"/>
        </w:rPr>
        <w:t xml:space="preserve">, </w:t>
      </w:r>
      <w:r w:rsidRPr="00E20483">
        <w:rPr>
          <w:rFonts w:ascii="GibsonLight" w:eastAsia="Arial Unicode MS" w:hAnsi="GibsonLight"/>
          <w:spacing w:val="12"/>
          <w:sz w:val="22"/>
          <w:szCs w:val="22"/>
        </w:rPr>
        <w:t>or te</w:t>
      </w:r>
      <w:r w:rsidR="005E2A55" w:rsidRPr="00E20483">
        <w:rPr>
          <w:rFonts w:ascii="GibsonLight" w:eastAsia="Arial Unicode MS" w:hAnsi="GibsonLight"/>
          <w:spacing w:val="12"/>
          <w:sz w:val="22"/>
          <w:szCs w:val="22"/>
        </w:rPr>
        <w:t>st for risk factors,</w:t>
      </w:r>
      <w:r w:rsidRPr="00E20483">
        <w:rPr>
          <w:rFonts w:ascii="GibsonLight" w:eastAsia="Arial Unicode MS" w:hAnsi="GibsonLight"/>
          <w:spacing w:val="12"/>
          <w:sz w:val="22"/>
          <w:szCs w:val="22"/>
        </w:rPr>
        <w:t xml:space="preserve"> before it is symptomatic (e.g. breast cancer screening – </w:t>
      </w:r>
      <w:r w:rsidRPr="00E20483">
        <w:rPr>
          <w:rFonts w:ascii="GibsonLight" w:eastAsia="Arial Unicode MS" w:hAnsi="GibsonLight"/>
          <w:bCs/>
          <w:color w:val="000000"/>
          <w:spacing w:val="12"/>
          <w:sz w:val="22"/>
          <w:szCs w:val="22"/>
        </w:rPr>
        <w:t>mammogram</w:t>
      </w:r>
      <w:r w:rsidRPr="00E20483">
        <w:rPr>
          <w:rFonts w:ascii="GibsonLight" w:eastAsia="Arial Unicode MS" w:hAnsi="GibsonLight"/>
          <w:spacing w:val="12"/>
          <w:sz w:val="22"/>
          <w:szCs w:val="22"/>
        </w:rPr>
        <w:t>)</w:t>
      </w:r>
      <w:r w:rsidR="005E2A55" w:rsidRPr="00E20483">
        <w:rPr>
          <w:rFonts w:ascii="GibsonLight" w:eastAsia="Arial Unicode MS" w:hAnsi="GibsonLight"/>
          <w:spacing w:val="12"/>
          <w:sz w:val="22"/>
          <w:szCs w:val="22"/>
        </w:rPr>
        <w:t>.</w:t>
      </w:r>
    </w:p>
    <w:p w14:paraId="5D032ACD" w14:textId="6678301E" w:rsidR="00220D1C" w:rsidRPr="00E20483" w:rsidRDefault="00220D1C"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Surgical</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Treatments or procedures characterized by incision or cutting intended to investigate and/or treat a pathological condition, disease, or injury, or to help improve bodily function or appearance (e.g. transplantation, appendectomy)</w:t>
      </w:r>
      <w:r w:rsidR="005E2A55" w:rsidRPr="00E20483">
        <w:rPr>
          <w:rFonts w:ascii="GibsonLight" w:eastAsia="Arial Unicode MS" w:hAnsi="GibsonLight"/>
          <w:spacing w:val="12"/>
          <w:sz w:val="22"/>
          <w:szCs w:val="22"/>
        </w:rPr>
        <w:t>.</w:t>
      </w:r>
    </w:p>
    <w:p w14:paraId="7DFF4272" w14:textId="77777777" w:rsidR="005E2A55" w:rsidRPr="00E20483" w:rsidRDefault="005E2A55" w:rsidP="005E2A55">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None</w:t>
      </w:r>
      <w:r w:rsidRPr="00E20483">
        <w:rPr>
          <w:rFonts w:ascii="GibsonLight" w:eastAsia="Arial Unicode MS" w:hAnsi="GibsonLight"/>
          <w:spacing w:val="12"/>
          <w:sz w:val="22"/>
          <w:szCs w:val="22"/>
        </w:rPr>
        <w:t xml:space="preserve">: Do-nothing strategies. This does </w:t>
      </w:r>
      <w:r w:rsidRPr="00E20483">
        <w:rPr>
          <w:rFonts w:ascii="GibsonLight" w:eastAsia="Arial Unicode MS" w:hAnsi="GibsonLight"/>
          <w:spacing w:val="12"/>
          <w:sz w:val="22"/>
          <w:szCs w:val="22"/>
          <w:u w:val="single"/>
        </w:rPr>
        <w:t>not</w:t>
      </w:r>
      <w:r w:rsidRPr="00E20483">
        <w:rPr>
          <w:rFonts w:ascii="GibsonLight" w:eastAsia="Arial Unicode MS" w:hAnsi="GibsonLight"/>
          <w:spacing w:val="12"/>
          <w:sz w:val="22"/>
          <w:szCs w:val="22"/>
        </w:rPr>
        <w:t xml:space="preserve"> indicate that the study did not specify an intervention.</w:t>
      </w:r>
    </w:p>
    <w:p w14:paraId="7B0995D0" w14:textId="7C509E9F" w:rsidR="004F2728" w:rsidRPr="00E20483" w:rsidRDefault="00220D1C"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Other</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Any intervention not described above</w:t>
      </w:r>
      <w:r w:rsidR="007174B9" w:rsidRPr="00E20483">
        <w:rPr>
          <w:rFonts w:ascii="GibsonLight" w:eastAsia="Arial Unicode MS" w:hAnsi="GibsonLight"/>
          <w:spacing w:val="12"/>
          <w:sz w:val="22"/>
          <w:szCs w:val="22"/>
        </w:rPr>
        <w:t xml:space="preserve"> (e.g. injury prevention, food safety).</w:t>
      </w:r>
    </w:p>
    <w:p w14:paraId="2E61A23B" w14:textId="743B52E4" w:rsidR="00220D1C" w:rsidRPr="00E20483" w:rsidRDefault="00220D1C" w:rsidP="004B15D0">
      <w:pPr>
        <w:numPr>
          <w:ilvl w:val="0"/>
          <w:numId w:val="1"/>
        </w:numPr>
        <w:tabs>
          <w:tab w:val="left" w:pos="360"/>
        </w:tabs>
        <w:spacing w:after="120"/>
        <w:ind w:left="270" w:hanging="270"/>
        <w:rPr>
          <w:rFonts w:ascii="GibsonLight" w:eastAsia="Arial Unicode MS" w:hAnsi="GibsonLight"/>
          <w:spacing w:val="12"/>
          <w:sz w:val="22"/>
          <w:szCs w:val="22"/>
        </w:rPr>
      </w:pPr>
      <w:r w:rsidRPr="00E20483">
        <w:rPr>
          <w:rFonts w:ascii="GibsonLight" w:eastAsia="Arial Unicode MS" w:hAnsi="GibsonLight"/>
          <w:b/>
          <w:spacing w:val="12"/>
          <w:sz w:val="22"/>
          <w:szCs w:val="22"/>
        </w:rPr>
        <w:t>Data Source for Intervention’s Efficacy/Effectiveness</w:t>
      </w:r>
      <w:r w:rsidR="00D31B44" w:rsidRPr="00E20483">
        <w:rPr>
          <w:rFonts w:ascii="GibsonLight" w:eastAsia="Arial Unicode MS" w:hAnsi="GibsonLight"/>
          <w:spacing w:val="12"/>
          <w:sz w:val="22"/>
          <w:szCs w:val="22"/>
        </w:rPr>
        <w:t>: This indicates the type of data source(s) utilized in the study to measure the primary intervention(s) effectiveness of efficacy (i.e. health metrics).</w:t>
      </w:r>
    </w:p>
    <w:p w14:paraId="76BF82EF" w14:textId="375DFA33" w:rsidR="00220D1C" w:rsidRPr="00E20483" w:rsidRDefault="00220D1C"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Randomized clinical trial(s)</w:t>
      </w:r>
      <w:r w:rsidR="00D31B44" w:rsidRPr="00E20483">
        <w:rPr>
          <w:rFonts w:ascii="GibsonLight" w:eastAsia="Arial Unicode MS" w:hAnsi="GibsonLight"/>
          <w:spacing w:val="12"/>
          <w:sz w:val="22"/>
          <w:szCs w:val="22"/>
        </w:rPr>
        <w:t>: Quantitative, comparative, controlled experiments in which investigators study two or more interventions in a series of individuals who receive them in random order. This indicates that data was retrieved from a single source.</w:t>
      </w:r>
    </w:p>
    <w:p w14:paraId="768EEBD9" w14:textId="45CAE780" w:rsidR="00220D1C" w:rsidRPr="00E20483" w:rsidRDefault="00220D1C"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Meta-analysis/systemic review of clinical trials</w:t>
      </w:r>
      <w:r w:rsidR="00D31B44" w:rsidRPr="00E20483">
        <w:rPr>
          <w:rFonts w:ascii="GibsonLight" w:eastAsia="Arial Unicode MS" w:hAnsi="GibsonLight"/>
          <w:spacing w:val="12"/>
          <w:sz w:val="22"/>
          <w:szCs w:val="22"/>
        </w:rPr>
        <w:t>: This indicates that data was retrieved from multiple clinical trials.</w:t>
      </w:r>
    </w:p>
    <w:p w14:paraId="2B2A9DAC" w14:textId="73BF526A" w:rsidR="00220D1C" w:rsidRPr="00E20483" w:rsidRDefault="00220D1C"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Observational study</w:t>
      </w:r>
      <w:r w:rsidR="00D31B44" w:rsidRPr="00E20483">
        <w:rPr>
          <w:rFonts w:ascii="GibsonLight" w:eastAsia="Arial Unicode MS" w:hAnsi="GibsonLight"/>
          <w:spacing w:val="12"/>
          <w:sz w:val="22"/>
          <w:szCs w:val="22"/>
        </w:rPr>
        <w:t>: Experiments in which the investigator cannot control the assignment of treatment to subjects (e.g. case control studies, cohort studies). Investigators examine predetermined treatments/interventions/policies to assess health outcomes in groups or participants according to a research plan or protocol. This indicates that data was retrieved from a single source.</w:t>
      </w:r>
    </w:p>
    <w:p w14:paraId="47F864A3" w14:textId="459E7CE8" w:rsidR="00220D1C" w:rsidRPr="00E20483" w:rsidRDefault="00220D1C"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Meta-analysis/systematic review of observational studies</w:t>
      </w:r>
      <w:r w:rsidR="00D31B44" w:rsidRPr="00E20483">
        <w:rPr>
          <w:rFonts w:ascii="GibsonLight" w:eastAsia="Arial Unicode MS" w:hAnsi="GibsonLight"/>
          <w:spacing w:val="12"/>
          <w:sz w:val="22"/>
          <w:szCs w:val="22"/>
        </w:rPr>
        <w:t>: This indicates that data was retrieved from multiple observation studies.</w:t>
      </w:r>
    </w:p>
    <w:p w14:paraId="7F79FFB4" w14:textId="430854B9" w:rsidR="00220D1C" w:rsidRPr="00E20483" w:rsidRDefault="00220D1C"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Expert Opinion</w:t>
      </w:r>
      <w:r w:rsidR="00D31B44" w:rsidRPr="00E20483">
        <w:rPr>
          <w:rFonts w:ascii="GibsonLight" w:eastAsia="Arial Unicode MS" w:hAnsi="GibsonLight"/>
          <w:spacing w:val="12"/>
          <w:sz w:val="22"/>
          <w:szCs w:val="22"/>
        </w:rPr>
        <w:t xml:space="preserve">: </w:t>
      </w:r>
      <w:r w:rsidR="00654F3F" w:rsidRPr="00E20483">
        <w:rPr>
          <w:rFonts w:ascii="GibsonLight" w:eastAsia="Arial Unicode MS" w:hAnsi="GibsonLight"/>
          <w:spacing w:val="12"/>
          <w:sz w:val="22"/>
          <w:szCs w:val="22"/>
        </w:rPr>
        <w:t>This indicates that data was retrieved from experts in the field (e.g. clinicians) and not from a specific study of participants.</w:t>
      </w:r>
    </w:p>
    <w:p w14:paraId="5043C99F" w14:textId="0D62FA8F" w:rsidR="00220D1C" w:rsidRPr="00E20483" w:rsidRDefault="00220D1C"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Other</w:t>
      </w:r>
      <w:r w:rsidR="007174B9" w:rsidRPr="00E20483">
        <w:rPr>
          <w:rFonts w:ascii="GibsonLight" w:eastAsia="Arial Unicode MS" w:hAnsi="GibsonLight"/>
          <w:spacing w:val="12"/>
          <w:sz w:val="22"/>
          <w:szCs w:val="22"/>
        </w:rPr>
        <w:t>:</w:t>
      </w:r>
      <w:r w:rsidR="008C38E2" w:rsidRPr="00E20483">
        <w:rPr>
          <w:rFonts w:ascii="GibsonLight" w:eastAsia="Arial Unicode MS" w:hAnsi="GibsonLight"/>
          <w:spacing w:val="12"/>
          <w:sz w:val="22"/>
          <w:szCs w:val="22"/>
        </w:rPr>
        <w:t xml:space="preserve"> Any data sources not described above.</w:t>
      </w:r>
    </w:p>
    <w:p w14:paraId="70F92D28" w14:textId="6830DE56" w:rsidR="00220D1C" w:rsidRPr="00E20483" w:rsidRDefault="00220D1C"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Not Stated/None</w:t>
      </w:r>
      <w:r w:rsidR="00654F3F" w:rsidRPr="00E20483">
        <w:rPr>
          <w:rFonts w:ascii="GibsonLight" w:eastAsia="Arial Unicode MS" w:hAnsi="GibsonLight"/>
          <w:b/>
          <w:spacing w:val="12"/>
          <w:sz w:val="22"/>
          <w:szCs w:val="22"/>
        </w:rPr>
        <w:t xml:space="preserve">: </w:t>
      </w:r>
      <w:r w:rsidR="00654F3F" w:rsidRPr="00E20483">
        <w:rPr>
          <w:rFonts w:ascii="GibsonLight" w:eastAsia="Arial Unicode MS" w:hAnsi="GibsonLight"/>
          <w:spacing w:val="12"/>
          <w:sz w:val="22"/>
          <w:szCs w:val="22"/>
        </w:rPr>
        <w:t>The study does not provide sufficient information to determine the data sources used to measure the primary intervention's efficacy or effectiveness.</w:t>
      </w:r>
    </w:p>
    <w:p w14:paraId="3A6AC2CC" w14:textId="0241C793" w:rsidR="00220D1C" w:rsidRPr="00E20483" w:rsidRDefault="00220D1C" w:rsidP="004B15D0">
      <w:pPr>
        <w:numPr>
          <w:ilvl w:val="0"/>
          <w:numId w:val="1"/>
        </w:numPr>
        <w:tabs>
          <w:tab w:val="num" w:pos="360"/>
          <w:tab w:val="left" w:pos="630"/>
        </w:tabs>
        <w:spacing w:after="120"/>
        <w:ind w:left="270" w:hanging="270"/>
        <w:rPr>
          <w:rFonts w:ascii="GibsonLight" w:eastAsia="Arial Unicode MS" w:hAnsi="GibsonLight"/>
          <w:b/>
          <w:spacing w:val="12"/>
          <w:sz w:val="22"/>
          <w:szCs w:val="22"/>
        </w:rPr>
      </w:pPr>
      <w:r w:rsidRPr="00E20483">
        <w:rPr>
          <w:rFonts w:ascii="GibsonLight" w:eastAsia="Arial Unicode MS" w:hAnsi="GibsonLight"/>
          <w:b/>
          <w:spacing w:val="12"/>
          <w:sz w:val="22"/>
          <w:szCs w:val="22"/>
        </w:rPr>
        <w:lastRenderedPageBreak/>
        <w:t>Prevention Stage</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007174B9" w:rsidRPr="00E20483">
        <w:rPr>
          <w:rFonts w:ascii="GibsonLight" w:eastAsia="Arial Unicode MS" w:hAnsi="GibsonLight"/>
          <w:spacing w:val="12"/>
          <w:sz w:val="22"/>
          <w:szCs w:val="22"/>
        </w:rPr>
        <w:t xml:space="preserve">This reflects the prevention type of the primary intervention(s) evaluated in the study. </w:t>
      </w:r>
      <w:r w:rsidRPr="00E20483">
        <w:rPr>
          <w:rFonts w:ascii="GibsonLight" w:eastAsia="Arial Unicode MS" w:hAnsi="GibsonLight"/>
          <w:spacing w:val="12"/>
          <w:sz w:val="22"/>
          <w:szCs w:val="22"/>
        </w:rPr>
        <w:t>Prevention stage definitions</w:t>
      </w:r>
      <w:r w:rsidR="007174B9" w:rsidRPr="00E20483">
        <w:rPr>
          <w:rFonts w:ascii="GibsonLight" w:eastAsia="Arial Unicode MS" w:hAnsi="GibsonLight"/>
          <w:spacing w:val="12"/>
          <w:sz w:val="22"/>
          <w:szCs w:val="22"/>
        </w:rPr>
        <w:t xml:space="preserve"> are retrieved from the</w:t>
      </w:r>
      <w:r w:rsidRPr="00E20483">
        <w:rPr>
          <w:rFonts w:ascii="GibsonLight" w:eastAsia="Arial Unicode MS" w:hAnsi="GibsonLight"/>
          <w:spacing w:val="12"/>
          <w:sz w:val="22"/>
          <w:szCs w:val="22"/>
        </w:rPr>
        <w:t xml:space="preserve"> </w:t>
      </w:r>
      <w:r w:rsidRPr="00E20483">
        <w:rPr>
          <w:rFonts w:ascii="GibsonLight" w:eastAsia="Arial Unicode MS" w:hAnsi="GibsonLight"/>
          <w:iCs/>
          <w:spacing w:val="12"/>
          <w:sz w:val="22"/>
          <w:szCs w:val="22"/>
        </w:rPr>
        <w:t>Encyclopedia of Public Healt</w:t>
      </w:r>
      <w:r w:rsidR="007174B9" w:rsidRPr="00E20483">
        <w:rPr>
          <w:rFonts w:ascii="GibsonLight" w:eastAsia="Arial Unicode MS" w:hAnsi="GibsonLight"/>
          <w:iCs/>
          <w:spacing w:val="12"/>
          <w:sz w:val="22"/>
          <w:szCs w:val="22"/>
        </w:rPr>
        <w:t>h</w:t>
      </w:r>
      <w:r w:rsidRPr="00E20483">
        <w:rPr>
          <w:rFonts w:ascii="GibsonLight" w:eastAsia="Arial Unicode MS" w:hAnsi="GibsonLight"/>
          <w:spacing w:val="12"/>
          <w:sz w:val="22"/>
          <w:szCs w:val="22"/>
        </w:rPr>
        <w:t xml:space="preserve">. </w:t>
      </w:r>
    </w:p>
    <w:p w14:paraId="2CBFCCED" w14:textId="108F2276" w:rsidR="00220D1C" w:rsidRPr="00E20483" w:rsidRDefault="00220D1C" w:rsidP="004B15D0">
      <w:pPr>
        <w:pStyle w:val="BodyText2"/>
        <w:spacing w:after="120"/>
        <w:ind w:left="720"/>
        <w:rPr>
          <w:rFonts w:ascii="GibsonLight" w:eastAsia="Arial Unicode MS" w:hAnsi="GibsonLight" w:cs="Times New Roman"/>
          <w:spacing w:val="12"/>
          <w:sz w:val="22"/>
          <w:szCs w:val="22"/>
        </w:rPr>
      </w:pPr>
      <w:r w:rsidRPr="00E20483">
        <w:rPr>
          <w:rFonts w:ascii="GibsonLight" w:eastAsia="Arial Unicode MS" w:hAnsi="GibsonLight" w:cs="Times New Roman"/>
          <w:b/>
          <w:spacing w:val="12"/>
          <w:sz w:val="22"/>
          <w:szCs w:val="22"/>
        </w:rPr>
        <w:t>Primary</w:t>
      </w:r>
      <w:r w:rsidR="007174B9" w:rsidRPr="00E20483">
        <w:rPr>
          <w:rFonts w:ascii="GibsonLight" w:eastAsia="Arial Unicode MS" w:hAnsi="GibsonLight" w:cs="Times New Roman"/>
          <w:spacing w:val="12"/>
          <w:sz w:val="22"/>
          <w:szCs w:val="22"/>
        </w:rPr>
        <w:t>:</w:t>
      </w:r>
      <w:r w:rsidRPr="00E20483">
        <w:rPr>
          <w:rFonts w:ascii="GibsonLight" w:eastAsia="Arial Unicode MS" w:hAnsi="GibsonLight" w:cs="Times New Roman"/>
          <w:spacing w:val="12"/>
          <w:sz w:val="22"/>
          <w:szCs w:val="22"/>
        </w:rPr>
        <w:t xml:space="preserve"> Interventions aimed at altering behavioral and/or clinical risk factors </w:t>
      </w:r>
      <w:r w:rsidRPr="00E20483">
        <w:rPr>
          <w:rFonts w:ascii="GibsonLight" w:eastAsia="Arial Unicode MS" w:hAnsi="GibsonLight" w:cs="Times New Roman"/>
          <w:i/>
          <w:spacing w:val="12"/>
          <w:sz w:val="22"/>
          <w:szCs w:val="22"/>
        </w:rPr>
        <w:t>before</w:t>
      </w:r>
      <w:r w:rsidRPr="00E20483">
        <w:rPr>
          <w:rFonts w:ascii="GibsonLight" w:eastAsia="Arial Unicode MS" w:hAnsi="GibsonLight" w:cs="Times New Roman"/>
          <w:spacing w:val="12"/>
          <w:sz w:val="22"/>
          <w:szCs w:val="22"/>
        </w:rPr>
        <w:t xml:space="preserve"> a targeted condition has evolved among persons who are asymptomatic (e.g. immunizations/vaccines, promotion of safety equipment to avoid car injury, anti-smoking campaigns to prevent lung cancer, and to reduce the risk of acquiring a pathogen).</w:t>
      </w:r>
    </w:p>
    <w:p w14:paraId="55255825" w14:textId="66938E55" w:rsidR="00220D1C" w:rsidRPr="00E20483" w:rsidRDefault="00220D1C"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Secondary</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Interventions aimed at identifying persons who may have begun, but have not shown apparent clinical signs and symptoms of the illness (for screening purpose) or have not formally diag</w:t>
      </w:r>
      <w:r w:rsidR="005E2A55" w:rsidRPr="00E20483">
        <w:rPr>
          <w:rFonts w:ascii="GibsonLight" w:eastAsia="Arial Unicode MS" w:hAnsi="GibsonLight"/>
          <w:spacing w:val="12"/>
          <w:sz w:val="22"/>
          <w:szCs w:val="22"/>
        </w:rPr>
        <w:t>nosed (for diagnostic purpose) (e.g.</w:t>
      </w:r>
      <w:r w:rsidRPr="00E20483">
        <w:rPr>
          <w:rFonts w:ascii="GibsonLight" w:eastAsia="Arial Unicode MS" w:hAnsi="GibsonLight"/>
          <w:spacing w:val="12"/>
          <w:sz w:val="22"/>
          <w:szCs w:val="22"/>
        </w:rPr>
        <w:t xml:space="preserve"> population-level screening to identify disease or diagnostic procedures</w:t>
      </w:r>
      <w:r w:rsidR="005E2A55"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This does not include diagnostic procedures used for cancer staging where the patient has already been diagnosed and the intervention is used to determine severity.</w:t>
      </w:r>
    </w:p>
    <w:p w14:paraId="14B35830" w14:textId="6E4EC4EE" w:rsidR="00220D1C" w:rsidRPr="00E20483" w:rsidRDefault="00220D1C"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Tertiary</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Interventions aimed at preventing progression of a targeted disease among persons with a clinical diagnosis to alleviate symptoms and reduce complications after initial clinical diagnosis (e.g. chemotherapy, rehabilitation, screening for further complications of a diagnosed disease).</w:t>
      </w:r>
    </w:p>
    <w:p w14:paraId="00BF0EA1" w14:textId="77777777" w:rsidR="00675E4F" w:rsidRPr="004F0578" w:rsidRDefault="00675E4F" w:rsidP="004B15D0">
      <w:pPr>
        <w:spacing w:after="120"/>
        <w:rPr>
          <w:rFonts w:ascii="GibsonLight" w:eastAsia="Arial Unicode MS" w:hAnsi="GibsonLight"/>
          <w:spacing w:val="12"/>
        </w:rPr>
      </w:pPr>
    </w:p>
    <w:p w14:paraId="3FBCBD9B" w14:textId="639924CC" w:rsidR="003B2A98" w:rsidRPr="009278C6" w:rsidRDefault="003B2A98" w:rsidP="004B15D0">
      <w:pPr>
        <w:pStyle w:val="Heading3"/>
        <w:numPr>
          <w:ilvl w:val="0"/>
          <w:numId w:val="0"/>
        </w:numPr>
        <w:spacing w:after="120"/>
        <w:rPr>
          <w:rFonts w:ascii="GibsonLight" w:eastAsia="Arial Unicode MS" w:hAnsi="GibsonLight"/>
          <w:spacing w:val="12"/>
          <w:sz w:val="32"/>
          <w:szCs w:val="24"/>
        </w:rPr>
      </w:pPr>
      <w:bookmarkStart w:id="14" w:name="_Toc100072031"/>
      <w:r w:rsidRPr="009278C6">
        <w:rPr>
          <w:rFonts w:ascii="GibsonLight" w:eastAsia="Arial Unicode MS" w:hAnsi="GibsonLight"/>
          <w:spacing w:val="12"/>
          <w:sz w:val="32"/>
          <w:szCs w:val="24"/>
        </w:rPr>
        <w:t>Study Context</w:t>
      </w:r>
      <w:bookmarkEnd w:id="14"/>
    </w:p>
    <w:p w14:paraId="5DC9111F" w14:textId="77777777" w:rsidR="00E20483" w:rsidRDefault="00220D1C" w:rsidP="00E20483">
      <w:pPr>
        <w:numPr>
          <w:ilvl w:val="0"/>
          <w:numId w:val="1"/>
        </w:numPr>
        <w:tabs>
          <w:tab w:val="num" w:pos="360"/>
        </w:tabs>
        <w:spacing w:after="120"/>
        <w:ind w:left="360"/>
        <w:rPr>
          <w:rFonts w:ascii="GibsonLight" w:eastAsia="Arial Unicode MS" w:hAnsi="GibsonLight"/>
          <w:spacing w:val="12"/>
          <w:sz w:val="22"/>
          <w:szCs w:val="22"/>
        </w:rPr>
      </w:pPr>
      <w:r w:rsidRPr="00E20483">
        <w:rPr>
          <w:rFonts w:ascii="GibsonLight" w:eastAsia="Arial Unicode MS" w:hAnsi="GibsonLight"/>
          <w:b/>
          <w:spacing w:val="12"/>
          <w:sz w:val="22"/>
          <w:szCs w:val="22"/>
        </w:rPr>
        <w:t>Country of Study</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The geographical perspective of the economic evaluation or the country to which the study’s results are applied. The perspective of the study relates to practice patterns and unit costs for medical care/interventions/other societal costs that are included in the economic evaluation. For example, if the country is UK, then the CE ratio represents the expected costs and QALYs</w:t>
      </w:r>
      <w:r w:rsidR="005E2A55" w:rsidRPr="00E20483">
        <w:rPr>
          <w:rFonts w:ascii="GibsonLight" w:eastAsia="Arial Unicode MS" w:hAnsi="GibsonLight"/>
          <w:spacing w:val="12"/>
          <w:sz w:val="22"/>
          <w:szCs w:val="22"/>
        </w:rPr>
        <w:t xml:space="preserve"> or DALYs</w:t>
      </w:r>
      <w:r w:rsidRPr="00E20483">
        <w:rPr>
          <w:rFonts w:ascii="GibsonLight" w:eastAsia="Arial Unicode MS" w:hAnsi="GibsonLight"/>
          <w:spacing w:val="12"/>
          <w:sz w:val="22"/>
          <w:szCs w:val="22"/>
        </w:rPr>
        <w:t xml:space="preserve"> if </w:t>
      </w:r>
      <w:r w:rsidR="005E2A55" w:rsidRPr="00E20483">
        <w:rPr>
          <w:rFonts w:ascii="GibsonLight" w:eastAsia="Arial Unicode MS" w:hAnsi="GibsonLight"/>
          <w:spacing w:val="12"/>
          <w:sz w:val="22"/>
          <w:szCs w:val="22"/>
        </w:rPr>
        <w:t xml:space="preserve">the </w:t>
      </w:r>
      <w:r w:rsidRPr="00E20483">
        <w:rPr>
          <w:rFonts w:ascii="GibsonLight" w:eastAsia="Arial Unicode MS" w:hAnsi="GibsonLight"/>
          <w:spacing w:val="12"/>
          <w:sz w:val="22"/>
          <w:szCs w:val="22"/>
        </w:rPr>
        <w:t xml:space="preserve">intervention were </w:t>
      </w:r>
      <w:r w:rsidR="005E2A55" w:rsidRPr="00E20483">
        <w:rPr>
          <w:rFonts w:ascii="GibsonLight" w:eastAsia="Arial Unicode MS" w:hAnsi="GibsonLight"/>
          <w:spacing w:val="12"/>
          <w:sz w:val="22"/>
          <w:szCs w:val="22"/>
        </w:rPr>
        <w:t>adopted in UK. This is</w:t>
      </w:r>
      <w:r w:rsidRPr="00E20483">
        <w:rPr>
          <w:rFonts w:ascii="GibsonLight" w:eastAsia="Arial Unicode MS" w:hAnsi="GibsonLight"/>
          <w:spacing w:val="12"/>
          <w:sz w:val="22"/>
          <w:szCs w:val="22"/>
        </w:rPr>
        <w:t xml:space="preserve"> irrespective of what country individual data (e.g. clinical trial data) are derived from. This does not include the author’s country origin, which may or may not be the country study context. </w:t>
      </w:r>
    </w:p>
    <w:p w14:paraId="237AF856" w14:textId="05A2ADD4" w:rsidR="00220D1C" w:rsidRPr="00E20483" w:rsidRDefault="00220D1C" w:rsidP="00E20483">
      <w:pPr>
        <w:numPr>
          <w:ilvl w:val="0"/>
          <w:numId w:val="1"/>
        </w:numPr>
        <w:tabs>
          <w:tab w:val="num" w:pos="360"/>
        </w:tabs>
        <w:spacing w:after="120"/>
        <w:ind w:left="360"/>
        <w:rPr>
          <w:rFonts w:ascii="GibsonLight" w:eastAsia="Arial Unicode MS" w:hAnsi="GibsonLight"/>
          <w:spacing w:val="12"/>
          <w:sz w:val="22"/>
          <w:szCs w:val="22"/>
        </w:rPr>
      </w:pPr>
      <w:r w:rsidRPr="00E20483">
        <w:rPr>
          <w:rFonts w:ascii="GibsonLight" w:eastAsia="Arial Unicode MS" w:hAnsi="GibsonLight"/>
          <w:b/>
          <w:spacing w:val="12"/>
          <w:sz w:val="22"/>
          <w:szCs w:val="22"/>
        </w:rPr>
        <w:t>Region</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World Bank defined regions</w:t>
      </w:r>
      <w:r w:rsidR="005E2A55" w:rsidRPr="00E20483">
        <w:rPr>
          <w:rFonts w:ascii="GibsonLight" w:eastAsia="Arial Unicode MS" w:hAnsi="GibsonLight"/>
          <w:spacing w:val="12"/>
          <w:sz w:val="22"/>
          <w:szCs w:val="22"/>
        </w:rPr>
        <w:t xml:space="preserve"> that correspond with the country.</w:t>
      </w:r>
    </w:p>
    <w:p w14:paraId="0B94FEE1" w14:textId="2966E617" w:rsidR="00E20954" w:rsidRPr="00E20483" w:rsidRDefault="00220D1C" w:rsidP="004B15D0">
      <w:pPr>
        <w:numPr>
          <w:ilvl w:val="0"/>
          <w:numId w:val="1"/>
        </w:numPr>
        <w:tabs>
          <w:tab w:val="left" w:pos="360"/>
        </w:tabs>
        <w:spacing w:after="120"/>
        <w:ind w:left="270" w:hanging="270"/>
        <w:rPr>
          <w:rFonts w:ascii="GibsonLight" w:eastAsia="Arial Unicode MS" w:hAnsi="GibsonLight"/>
          <w:b/>
          <w:spacing w:val="12"/>
          <w:sz w:val="22"/>
          <w:szCs w:val="22"/>
        </w:rPr>
      </w:pPr>
      <w:r w:rsidRPr="00E20483">
        <w:rPr>
          <w:rFonts w:ascii="GibsonLight" w:eastAsia="Arial Unicode MS" w:hAnsi="GibsonLight"/>
          <w:b/>
          <w:spacing w:val="12"/>
          <w:sz w:val="22"/>
          <w:szCs w:val="22"/>
        </w:rPr>
        <w:t>Scope of the Intervention</w:t>
      </w:r>
      <w:r w:rsidR="007174B9" w:rsidRPr="00E20483">
        <w:rPr>
          <w:rFonts w:ascii="GibsonLight" w:eastAsia="Arial Unicode MS" w:hAnsi="GibsonLight"/>
          <w:spacing w:val="12"/>
          <w:sz w:val="22"/>
          <w:szCs w:val="22"/>
        </w:rPr>
        <w:t>:</w:t>
      </w:r>
      <w:r w:rsidR="00E20954" w:rsidRPr="00E20483">
        <w:rPr>
          <w:rFonts w:ascii="GibsonLight" w:eastAsia="Arial Unicode MS" w:hAnsi="GibsonLight"/>
          <w:spacing w:val="12"/>
          <w:sz w:val="22"/>
          <w:szCs w:val="22"/>
        </w:rPr>
        <w:t xml:space="preserve"> Defined as the population aggregation level at which the intervention is targeted. The intervention can target the local, regional/provincial, or national level. </w:t>
      </w:r>
    </w:p>
    <w:p w14:paraId="6D62C226" w14:textId="77777777" w:rsidR="00675E4F" w:rsidRPr="004F0578" w:rsidRDefault="00675E4F" w:rsidP="004B15D0">
      <w:pPr>
        <w:spacing w:after="120"/>
        <w:ind w:left="720"/>
        <w:rPr>
          <w:rFonts w:ascii="GibsonLight" w:eastAsia="Arial Unicode MS" w:hAnsi="GibsonLight"/>
          <w:spacing w:val="12"/>
          <w:sz w:val="22"/>
          <w:szCs w:val="22"/>
        </w:rPr>
      </w:pPr>
    </w:p>
    <w:p w14:paraId="39EA54F1" w14:textId="6DC965CF" w:rsidR="003B2A98" w:rsidRPr="009278C6" w:rsidRDefault="003B2A98" w:rsidP="004B15D0">
      <w:pPr>
        <w:pStyle w:val="Heading3"/>
        <w:numPr>
          <w:ilvl w:val="0"/>
          <w:numId w:val="0"/>
        </w:numPr>
        <w:spacing w:after="120"/>
        <w:rPr>
          <w:rFonts w:ascii="GibsonLight" w:eastAsia="Arial Unicode MS" w:hAnsi="GibsonLight"/>
          <w:spacing w:val="12"/>
          <w:sz w:val="32"/>
          <w:szCs w:val="24"/>
        </w:rPr>
      </w:pPr>
      <w:bookmarkStart w:id="15" w:name="_Toc100072032"/>
      <w:r w:rsidRPr="009278C6">
        <w:rPr>
          <w:rFonts w:ascii="GibsonLight" w:eastAsia="Arial Unicode MS" w:hAnsi="GibsonLight"/>
          <w:spacing w:val="12"/>
          <w:sz w:val="32"/>
          <w:szCs w:val="24"/>
        </w:rPr>
        <w:t>Costs and Health Effects</w:t>
      </w:r>
      <w:bookmarkEnd w:id="15"/>
    </w:p>
    <w:p w14:paraId="7FE77339" w14:textId="4BE51C18" w:rsidR="009844FE" w:rsidRPr="00E20483" w:rsidRDefault="001A7EE9" w:rsidP="004B15D0">
      <w:pPr>
        <w:numPr>
          <w:ilvl w:val="0"/>
          <w:numId w:val="1"/>
        </w:numPr>
        <w:tabs>
          <w:tab w:val="left" w:pos="360"/>
        </w:tabs>
        <w:spacing w:after="120"/>
        <w:ind w:left="270" w:hanging="270"/>
        <w:rPr>
          <w:rFonts w:ascii="GibsonLight" w:eastAsia="Arial Unicode MS" w:hAnsi="GibsonLight"/>
          <w:b/>
          <w:spacing w:val="12"/>
          <w:sz w:val="22"/>
          <w:szCs w:val="22"/>
        </w:rPr>
      </w:pPr>
      <w:r w:rsidRPr="00E20483">
        <w:rPr>
          <w:rFonts w:ascii="GibsonLight" w:eastAsia="Arial Unicode MS" w:hAnsi="GibsonLight"/>
          <w:b/>
          <w:spacing w:val="12"/>
          <w:sz w:val="22"/>
          <w:szCs w:val="22"/>
        </w:rPr>
        <w:t>Time horizon(s)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The time horizon is the length of time by which resource use and health effects are measured</w:t>
      </w:r>
      <w:r w:rsidR="005E2A55" w:rsidRPr="00E20483">
        <w:rPr>
          <w:rFonts w:ascii="GibsonLight" w:eastAsia="Arial Unicode MS" w:hAnsi="GibsonLight"/>
          <w:spacing w:val="12"/>
          <w:sz w:val="22"/>
          <w:szCs w:val="22"/>
        </w:rPr>
        <w:t>. Only base-case time horizons are captured.</w:t>
      </w:r>
    </w:p>
    <w:p w14:paraId="0078EA57" w14:textId="7545516E" w:rsidR="001A7EE9" w:rsidRPr="00E20483" w:rsidRDefault="001A7EE9" w:rsidP="004B15D0">
      <w:pPr>
        <w:pStyle w:val="ListParagraph"/>
        <w:numPr>
          <w:ilvl w:val="0"/>
          <w:numId w:val="13"/>
        </w:numPr>
        <w:spacing w:after="120"/>
        <w:rPr>
          <w:rFonts w:ascii="GibsonLight" w:eastAsia="Arial Unicode MS" w:hAnsi="GibsonLight"/>
          <w:spacing w:val="12"/>
          <w:sz w:val="22"/>
          <w:szCs w:val="22"/>
        </w:rPr>
      </w:pPr>
      <w:r w:rsidRPr="00E20483">
        <w:rPr>
          <w:rFonts w:ascii="GibsonLight" w:eastAsia="Arial Unicode MS" w:hAnsi="GibsonLight"/>
          <w:b/>
          <w:spacing w:val="12"/>
          <w:sz w:val="22"/>
          <w:szCs w:val="22"/>
        </w:rPr>
        <w:t>Base case time horizon</w:t>
      </w:r>
      <w:r w:rsidR="007174B9" w:rsidRPr="00E20483">
        <w:rPr>
          <w:rFonts w:ascii="GibsonLight" w:eastAsia="Arial Unicode MS" w:hAnsi="GibsonLight"/>
          <w:spacing w:val="12"/>
          <w:sz w:val="22"/>
          <w:szCs w:val="22"/>
        </w:rPr>
        <w:t>:</w:t>
      </w:r>
      <w:r w:rsidR="009844FE" w:rsidRPr="00E20483">
        <w:rPr>
          <w:rFonts w:ascii="GibsonLight" w:eastAsia="Arial Unicode MS" w:hAnsi="GibsonLight"/>
          <w:b/>
          <w:spacing w:val="12"/>
          <w:sz w:val="22"/>
          <w:szCs w:val="22"/>
        </w:rPr>
        <w:t xml:space="preserve"> </w:t>
      </w:r>
      <w:r w:rsidR="009844FE" w:rsidRPr="00E20483">
        <w:rPr>
          <w:rFonts w:ascii="GibsonLight" w:eastAsia="Arial Unicode MS" w:hAnsi="GibsonLight"/>
          <w:spacing w:val="12"/>
          <w:sz w:val="22"/>
          <w:szCs w:val="22"/>
        </w:rPr>
        <w:t>The primary time horizon in the main/base case analysis.</w:t>
      </w:r>
    </w:p>
    <w:p w14:paraId="39C2B45E" w14:textId="59950D26" w:rsidR="001A7EE9" w:rsidRPr="00E20483" w:rsidRDefault="001A7EE9" w:rsidP="004B15D0">
      <w:pPr>
        <w:pStyle w:val="ListParagraph"/>
        <w:numPr>
          <w:ilvl w:val="0"/>
          <w:numId w:val="27"/>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Lifetime</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9844FE" w:rsidRPr="00E20483">
        <w:rPr>
          <w:rFonts w:ascii="GibsonLight" w:eastAsia="Arial Unicode MS" w:hAnsi="GibsonLight"/>
          <w:spacing w:val="12"/>
          <w:sz w:val="22"/>
          <w:szCs w:val="22"/>
        </w:rPr>
        <w:t>Costs and health effects are measured/persists for the remainder of the population cohort’s life.</w:t>
      </w:r>
    </w:p>
    <w:p w14:paraId="04B627B2" w14:textId="19B2E77E" w:rsidR="001A7EE9" w:rsidRPr="00E20483" w:rsidRDefault="001A7EE9" w:rsidP="004B15D0">
      <w:pPr>
        <w:pStyle w:val="ListParagraph"/>
        <w:numPr>
          <w:ilvl w:val="0"/>
          <w:numId w:val="27"/>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Years</w:t>
      </w:r>
      <w:r w:rsidR="007174B9" w:rsidRPr="00E20483">
        <w:rPr>
          <w:rFonts w:ascii="GibsonLight" w:eastAsia="Arial Unicode MS" w:hAnsi="GibsonLight"/>
          <w:spacing w:val="12"/>
          <w:sz w:val="22"/>
          <w:szCs w:val="22"/>
        </w:rPr>
        <w:t>:</w:t>
      </w:r>
      <w:r w:rsidR="009844FE" w:rsidRPr="00E20483">
        <w:rPr>
          <w:rFonts w:ascii="GibsonLight" w:eastAsia="Arial Unicode MS" w:hAnsi="GibsonLight"/>
          <w:b/>
          <w:spacing w:val="12"/>
          <w:sz w:val="22"/>
          <w:szCs w:val="22"/>
        </w:rPr>
        <w:t xml:space="preserve"> </w:t>
      </w:r>
      <w:r w:rsidR="004F0578" w:rsidRPr="00E20483">
        <w:rPr>
          <w:rFonts w:ascii="GibsonLight" w:eastAsia="Arial Unicode MS" w:hAnsi="GibsonLight"/>
          <w:spacing w:val="12"/>
          <w:sz w:val="22"/>
          <w:szCs w:val="22"/>
        </w:rPr>
        <w:t>Ti</w:t>
      </w:r>
      <w:r w:rsidR="009844FE" w:rsidRPr="00E20483">
        <w:rPr>
          <w:rFonts w:ascii="GibsonLight" w:eastAsia="Arial Unicode MS" w:hAnsi="GibsonLight"/>
          <w:spacing w:val="12"/>
          <w:sz w:val="22"/>
          <w:szCs w:val="22"/>
        </w:rPr>
        <w:t>me horizon was explicitly reported in years as the unit.</w:t>
      </w:r>
    </w:p>
    <w:p w14:paraId="15E5E778" w14:textId="4E8C2256" w:rsidR="001A7EE9" w:rsidRPr="00E20483" w:rsidRDefault="001A7EE9" w:rsidP="004B15D0">
      <w:pPr>
        <w:pStyle w:val="ListParagraph"/>
        <w:numPr>
          <w:ilvl w:val="0"/>
          <w:numId w:val="27"/>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Months</w:t>
      </w:r>
      <w:r w:rsidR="007174B9" w:rsidRPr="00E20483">
        <w:rPr>
          <w:rFonts w:ascii="GibsonLight" w:eastAsia="Arial Unicode MS" w:hAnsi="GibsonLight"/>
          <w:spacing w:val="12"/>
          <w:sz w:val="22"/>
          <w:szCs w:val="22"/>
        </w:rPr>
        <w:t>:</w:t>
      </w:r>
      <w:r w:rsidR="009E2A5E" w:rsidRPr="00E20483">
        <w:rPr>
          <w:rFonts w:ascii="GibsonLight" w:eastAsia="Arial Unicode MS" w:hAnsi="GibsonLight"/>
          <w:b/>
          <w:spacing w:val="12"/>
          <w:sz w:val="22"/>
          <w:szCs w:val="22"/>
        </w:rPr>
        <w:t xml:space="preserve"> </w:t>
      </w:r>
      <w:r w:rsidR="004F0578" w:rsidRPr="00E20483">
        <w:rPr>
          <w:rFonts w:ascii="GibsonLight" w:eastAsia="Arial Unicode MS" w:hAnsi="GibsonLight"/>
          <w:spacing w:val="12"/>
          <w:sz w:val="22"/>
          <w:szCs w:val="22"/>
        </w:rPr>
        <w:t>T</w:t>
      </w:r>
      <w:r w:rsidR="009E2A5E" w:rsidRPr="00E20483">
        <w:rPr>
          <w:rFonts w:ascii="GibsonLight" w:eastAsia="Arial Unicode MS" w:hAnsi="GibsonLight"/>
          <w:spacing w:val="12"/>
          <w:sz w:val="22"/>
          <w:szCs w:val="22"/>
        </w:rPr>
        <w:t>ime horizon was explicitly reported in months as the unit.</w:t>
      </w:r>
    </w:p>
    <w:p w14:paraId="4D4A2786" w14:textId="029916F6" w:rsidR="001A7EE9" w:rsidRPr="00E20483" w:rsidRDefault="001A7EE9" w:rsidP="004B15D0">
      <w:pPr>
        <w:pStyle w:val="ListParagraph"/>
        <w:numPr>
          <w:ilvl w:val="0"/>
          <w:numId w:val="27"/>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Weeks</w:t>
      </w:r>
      <w:r w:rsidR="007174B9" w:rsidRPr="00E20483">
        <w:rPr>
          <w:rFonts w:ascii="GibsonLight" w:eastAsia="Arial Unicode MS" w:hAnsi="GibsonLight"/>
          <w:spacing w:val="12"/>
          <w:sz w:val="22"/>
          <w:szCs w:val="22"/>
        </w:rPr>
        <w:t>:</w:t>
      </w:r>
      <w:r w:rsidR="009E2A5E" w:rsidRPr="00E20483">
        <w:rPr>
          <w:rFonts w:ascii="GibsonLight" w:eastAsia="Arial Unicode MS" w:hAnsi="GibsonLight"/>
          <w:spacing w:val="12"/>
          <w:sz w:val="22"/>
          <w:szCs w:val="22"/>
        </w:rPr>
        <w:t xml:space="preserve"> </w:t>
      </w:r>
      <w:r w:rsidR="004F0578" w:rsidRPr="00E20483">
        <w:rPr>
          <w:rFonts w:ascii="GibsonLight" w:eastAsia="Arial Unicode MS" w:hAnsi="GibsonLight"/>
          <w:spacing w:val="12"/>
          <w:sz w:val="22"/>
          <w:szCs w:val="22"/>
        </w:rPr>
        <w:t>T</w:t>
      </w:r>
      <w:r w:rsidR="009E2A5E" w:rsidRPr="00E20483">
        <w:rPr>
          <w:rFonts w:ascii="GibsonLight" w:eastAsia="Arial Unicode MS" w:hAnsi="GibsonLight"/>
          <w:spacing w:val="12"/>
          <w:sz w:val="22"/>
          <w:szCs w:val="22"/>
        </w:rPr>
        <w:t>ime horizon was explicitly reported in weeks as the unit.</w:t>
      </w:r>
    </w:p>
    <w:p w14:paraId="5C65373D" w14:textId="1201A01A" w:rsidR="009E2A5E" w:rsidRPr="00E20483" w:rsidRDefault="001A7EE9" w:rsidP="004B15D0">
      <w:pPr>
        <w:pStyle w:val="ListParagraph"/>
        <w:numPr>
          <w:ilvl w:val="0"/>
          <w:numId w:val="27"/>
        </w:numPr>
        <w:spacing w:after="120"/>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Not Stated/</w:t>
      </w:r>
      <w:r w:rsidR="009E2A5E" w:rsidRPr="00E20483">
        <w:rPr>
          <w:rFonts w:ascii="GibsonLight" w:eastAsia="Arial Unicode MS" w:hAnsi="GibsonLight"/>
          <w:b/>
          <w:spacing w:val="12"/>
          <w:sz w:val="22"/>
          <w:szCs w:val="22"/>
        </w:rPr>
        <w:t>None</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9E2A5E" w:rsidRPr="00E20483">
        <w:rPr>
          <w:rFonts w:ascii="GibsonLight" w:eastAsia="Arial Unicode MS" w:hAnsi="GibsonLight"/>
          <w:spacing w:val="12"/>
          <w:sz w:val="22"/>
          <w:szCs w:val="22"/>
        </w:rPr>
        <w:t>The main/base case time horizon was unclear and unable to be determined by the reviewer.</w:t>
      </w:r>
      <w:r w:rsidR="009E2A5E" w:rsidRPr="00E20483">
        <w:rPr>
          <w:rFonts w:ascii="GibsonLight" w:eastAsia="Arial Unicode MS" w:hAnsi="GibsonLight"/>
          <w:b/>
          <w:spacing w:val="12"/>
          <w:sz w:val="22"/>
          <w:szCs w:val="22"/>
        </w:rPr>
        <w:t xml:space="preserve"> </w:t>
      </w:r>
    </w:p>
    <w:p w14:paraId="40A95E4E" w14:textId="7F6789D6" w:rsidR="001A7EE9" w:rsidRPr="00E20483" w:rsidRDefault="009E2A5E" w:rsidP="004B15D0">
      <w:pPr>
        <w:pStyle w:val="ListParagraph"/>
        <w:numPr>
          <w:ilvl w:val="0"/>
          <w:numId w:val="13"/>
        </w:numPr>
        <w:spacing w:after="120"/>
        <w:rPr>
          <w:rFonts w:ascii="GibsonLight" w:eastAsia="Arial Unicode MS" w:hAnsi="GibsonLight"/>
          <w:spacing w:val="12"/>
          <w:sz w:val="22"/>
          <w:szCs w:val="22"/>
        </w:rPr>
      </w:pPr>
      <w:r w:rsidRPr="00E20483">
        <w:rPr>
          <w:rFonts w:ascii="GibsonLight" w:eastAsia="Arial Unicode MS" w:hAnsi="GibsonLight"/>
          <w:b/>
          <w:spacing w:val="12"/>
          <w:sz w:val="22"/>
          <w:szCs w:val="22"/>
        </w:rPr>
        <w:t>Additional base case time horizon(s)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T</w:t>
      </w:r>
      <w:r w:rsidR="008C38E2" w:rsidRPr="00E20483">
        <w:rPr>
          <w:rFonts w:ascii="GibsonLight" w:eastAsia="Arial Unicode MS" w:hAnsi="GibsonLight"/>
          <w:spacing w:val="12"/>
          <w:sz w:val="22"/>
          <w:szCs w:val="22"/>
        </w:rPr>
        <w:t>he study</w:t>
      </w:r>
      <w:r w:rsidR="001A7EE9" w:rsidRPr="00E20483">
        <w:rPr>
          <w:rFonts w:ascii="GibsonLight" w:eastAsia="Arial Unicode MS" w:hAnsi="GibsonLight"/>
          <w:spacing w:val="12"/>
          <w:sz w:val="22"/>
          <w:szCs w:val="22"/>
        </w:rPr>
        <w:t xml:space="preserve"> conducted the </w:t>
      </w:r>
      <w:r w:rsidR="008C38E2" w:rsidRPr="00E20483">
        <w:rPr>
          <w:rFonts w:ascii="GibsonLight" w:eastAsia="Arial Unicode MS" w:hAnsi="GibsonLight"/>
          <w:spacing w:val="12"/>
          <w:sz w:val="22"/>
          <w:szCs w:val="22"/>
        </w:rPr>
        <w:t>base case</w:t>
      </w:r>
      <w:r w:rsidR="001A7EE9" w:rsidRPr="00E20483">
        <w:rPr>
          <w:rFonts w:ascii="GibsonLight" w:eastAsia="Arial Unicode MS" w:hAnsi="GibsonLight"/>
          <w:spacing w:val="12"/>
          <w:sz w:val="22"/>
          <w:szCs w:val="22"/>
        </w:rPr>
        <w:t xml:space="preserve"> analysis from multiple time horizons (e.g. both 5 years analysis and lifetime analysis). </w:t>
      </w:r>
    </w:p>
    <w:p w14:paraId="6C996707" w14:textId="1566C32D" w:rsidR="009E2A5E" w:rsidRPr="00E20483" w:rsidRDefault="009E2A5E" w:rsidP="004B15D0">
      <w:pPr>
        <w:numPr>
          <w:ilvl w:val="0"/>
          <w:numId w:val="1"/>
        </w:numPr>
        <w:tabs>
          <w:tab w:val="num" w:pos="360"/>
          <w:tab w:val="left" w:pos="630"/>
        </w:tabs>
        <w:spacing w:after="120"/>
        <w:ind w:left="270" w:hanging="270"/>
        <w:rPr>
          <w:rFonts w:ascii="GibsonLight" w:eastAsia="Arial Unicode MS" w:hAnsi="GibsonLight"/>
          <w:spacing w:val="12"/>
          <w:sz w:val="22"/>
          <w:szCs w:val="22"/>
        </w:rPr>
      </w:pPr>
      <w:r w:rsidRPr="00E20483">
        <w:rPr>
          <w:rFonts w:ascii="GibsonLight" w:eastAsia="Arial Unicode MS" w:hAnsi="GibsonLight"/>
          <w:b/>
          <w:spacing w:val="12"/>
          <w:sz w:val="22"/>
          <w:szCs w:val="22"/>
        </w:rPr>
        <w:lastRenderedPageBreak/>
        <w:t>Spillover</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Spillover effects measure informal caregiving by family, friends, or volunteers in terms of time devoted to caring for the patient, time lost that could be spent doing other activities, and associated costs.</w:t>
      </w:r>
    </w:p>
    <w:p w14:paraId="7857C6B9" w14:textId="2DE622B7" w:rsidR="009E2A5E" w:rsidRPr="00E20483" w:rsidRDefault="009E2A5E" w:rsidP="004B15D0">
      <w:pPr>
        <w:numPr>
          <w:ilvl w:val="0"/>
          <w:numId w:val="1"/>
        </w:numPr>
        <w:tabs>
          <w:tab w:val="left" w:pos="360"/>
        </w:tabs>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Costs included</w:t>
      </w:r>
    </w:p>
    <w:p w14:paraId="5A6FA1DD" w14:textId="773F5F6D" w:rsidR="009E2A5E" w:rsidRPr="00E20483" w:rsidRDefault="009E2A5E" w:rsidP="004B15D0">
      <w:pPr>
        <w:tabs>
          <w:tab w:val="left" w:pos="360"/>
        </w:tabs>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Health care costs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All costs associated directly with treatment (e.g., vaccine costs, drug cost, physician visit cost, follow-up visit cost, hospitalization cost, outpatient cost).</w:t>
      </w:r>
      <w:r w:rsidR="00423963" w:rsidRPr="00E20483">
        <w:rPr>
          <w:rFonts w:ascii="GibsonLight" w:eastAsia="Arial Unicode MS" w:hAnsi="GibsonLight"/>
          <w:spacing w:val="12"/>
          <w:sz w:val="22"/>
          <w:szCs w:val="22"/>
        </w:rPr>
        <w:t xml:space="preserve"> These include</w:t>
      </w:r>
      <w:r w:rsidR="007174B9" w:rsidRPr="00E20483">
        <w:rPr>
          <w:rFonts w:ascii="GibsonLight" w:eastAsia="Arial Unicode MS" w:hAnsi="GibsonLight"/>
          <w:spacing w:val="12"/>
          <w:sz w:val="22"/>
          <w:szCs w:val="22"/>
        </w:rPr>
        <w:t>:</w:t>
      </w:r>
    </w:p>
    <w:p w14:paraId="07A18277" w14:textId="176D83A5" w:rsidR="009E2A5E" w:rsidRPr="00E20483" w:rsidRDefault="009E2A5E" w:rsidP="004B15D0">
      <w:pPr>
        <w:pStyle w:val="ListParagraph"/>
        <w:numPr>
          <w:ilvl w:val="0"/>
          <w:numId w:val="17"/>
        </w:numPr>
        <w:tabs>
          <w:tab w:val="left" w:pos="360"/>
        </w:tabs>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Treatment costs/direct medical costs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423963" w:rsidRPr="00E20483">
        <w:rPr>
          <w:rFonts w:ascii="GibsonLight" w:eastAsia="Arial Unicode MS" w:hAnsi="GibsonLight"/>
          <w:spacing w:val="12"/>
          <w:sz w:val="22"/>
          <w:szCs w:val="22"/>
        </w:rPr>
        <w:t>D</w:t>
      </w:r>
      <w:r w:rsidRPr="00E20483">
        <w:rPr>
          <w:rFonts w:ascii="GibsonLight" w:eastAsia="Arial Unicode MS" w:hAnsi="GibsonLight"/>
          <w:bCs/>
          <w:spacing w:val="12"/>
          <w:sz w:val="22"/>
          <w:szCs w:val="22"/>
        </w:rPr>
        <w:t>irect cost of treatment</w:t>
      </w:r>
    </w:p>
    <w:p w14:paraId="5A16C747" w14:textId="007F7B17" w:rsidR="009E2A5E" w:rsidRPr="00E20483" w:rsidRDefault="009E2A5E" w:rsidP="004B15D0">
      <w:pPr>
        <w:pStyle w:val="ListParagraph"/>
        <w:numPr>
          <w:ilvl w:val="0"/>
          <w:numId w:val="17"/>
        </w:numPr>
        <w:tabs>
          <w:tab w:val="left" w:pos="360"/>
        </w:tabs>
        <w:spacing w:after="120"/>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Out-of-pocket medical costs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423963" w:rsidRPr="00E20483">
        <w:rPr>
          <w:rFonts w:ascii="GibsonLight" w:eastAsia="Arial Unicode MS" w:hAnsi="GibsonLight"/>
          <w:bCs/>
          <w:spacing w:val="12"/>
          <w:sz w:val="22"/>
          <w:szCs w:val="22"/>
        </w:rPr>
        <w:t>C</w:t>
      </w:r>
      <w:r w:rsidRPr="00E20483">
        <w:rPr>
          <w:rFonts w:ascii="GibsonLight" w:eastAsia="Arial Unicode MS" w:hAnsi="GibsonLight"/>
          <w:bCs/>
          <w:spacing w:val="12"/>
          <w:sz w:val="22"/>
          <w:szCs w:val="22"/>
        </w:rPr>
        <w:t>osts incurred by the patient</w:t>
      </w:r>
      <w:r w:rsidRPr="00E20483">
        <w:rPr>
          <w:rFonts w:ascii="GibsonLight" w:eastAsia="Arial Unicode MS" w:hAnsi="GibsonLight"/>
          <w:b/>
          <w:spacing w:val="12"/>
          <w:sz w:val="22"/>
          <w:szCs w:val="22"/>
        </w:rPr>
        <w:t xml:space="preserve"> </w:t>
      </w:r>
    </w:p>
    <w:p w14:paraId="45E52052" w14:textId="61F42A17" w:rsidR="00423963" w:rsidRPr="00E20483" w:rsidRDefault="00423963"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Implementation costs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All costs associated with setting up of the intervention</w:t>
      </w:r>
      <w:r w:rsidR="005E2A55" w:rsidRPr="00E20483">
        <w:rPr>
          <w:rFonts w:ascii="GibsonLight" w:eastAsia="Arial Unicode MS" w:hAnsi="GibsonLight"/>
          <w:spacing w:val="12"/>
          <w:sz w:val="22"/>
          <w:szCs w:val="22"/>
        </w:rPr>
        <w:t>. These include:</w:t>
      </w:r>
    </w:p>
    <w:p w14:paraId="0215C2E2" w14:textId="6B311259" w:rsidR="00423963" w:rsidRPr="00E20483" w:rsidRDefault="00423963" w:rsidP="004B15D0">
      <w:pPr>
        <w:pStyle w:val="ListParagraph"/>
        <w:numPr>
          <w:ilvl w:val="0"/>
          <w:numId w:val="18"/>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Personnel salaries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Salaries associated with staff involved in the intervention</w:t>
      </w:r>
    </w:p>
    <w:p w14:paraId="17E20A75" w14:textId="2E58F8BE" w:rsidR="00423963" w:rsidRPr="00E20483" w:rsidRDefault="00423963" w:rsidP="004B15D0">
      <w:pPr>
        <w:pStyle w:val="ListParagraph"/>
        <w:numPr>
          <w:ilvl w:val="0"/>
          <w:numId w:val="18"/>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Infrastructure</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Costs associated with setup of the intervention and its infrastructure</w:t>
      </w:r>
    </w:p>
    <w:p w14:paraId="55B7E061" w14:textId="3394F162" w:rsidR="00423963" w:rsidRPr="00E20483" w:rsidRDefault="00423963" w:rsidP="004B15D0">
      <w:pPr>
        <w:pStyle w:val="ListParagraph"/>
        <w:numPr>
          <w:ilvl w:val="0"/>
          <w:numId w:val="18"/>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Administrative costs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Expenses incurred in controlling, directing and managing an organization/intervention </w:t>
      </w:r>
    </w:p>
    <w:p w14:paraId="1A808CE1" w14:textId="321229D7" w:rsidR="00423963" w:rsidRPr="00E20483" w:rsidRDefault="00423963" w:rsidP="004B15D0">
      <w:pPr>
        <w:pStyle w:val="ListParagraph"/>
        <w:numPr>
          <w:ilvl w:val="0"/>
          <w:numId w:val="18"/>
        </w:numPr>
        <w:spacing w:after="120"/>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Other</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Other costs related to the implementation of the intervention (e.g. training, surveillance, and advertising).</w:t>
      </w:r>
    </w:p>
    <w:p w14:paraId="36E7C38A" w14:textId="5B05506C" w:rsidR="009E2A5E" w:rsidRPr="00E20483" w:rsidRDefault="009E2A5E"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Non-health care costs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All costs </w:t>
      </w:r>
      <w:r w:rsidR="00423963" w:rsidRPr="00E20483">
        <w:rPr>
          <w:rFonts w:ascii="GibsonLight" w:eastAsia="Arial Unicode MS" w:hAnsi="GibsonLight"/>
          <w:spacing w:val="12"/>
          <w:sz w:val="22"/>
          <w:szCs w:val="22"/>
        </w:rPr>
        <w:t xml:space="preserve">that are unrelated to treatment and </w:t>
      </w:r>
      <w:r w:rsidRPr="00E20483">
        <w:rPr>
          <w:rFonts w:ascii="GibsonLight" w:eastAsia="Arial Unicode MS" w:hAnsi="GibsonLight"/>
          <w:spacing w:val="12"/>
          <w:sz w:val="22"/>
          <w:szCs w:val="22"/>
        </w:rPr>
        <w:t xml:space="preserve">not incurred by </w:t>
      </w:r>
      <w:r w:rsidR="00423963" w:rsidRPr="00E20483">
        <w:rPr>
          <w:rFonts w:ascii="GibsonLight" w:eastAsia="Arial Unicode MS" w:hAnsi="GibsonLight"/>
          <w:spacing w:val="12"/>
          <w:sz w:val="22"/>
          <w:szCs w:val="22"/>
        </w:rPr>
        <w:t xml:space="preserve">or specific to </w:t>
      </w:r>
      <w:r w:rsidRPr="00E20483">
        <w:rPr>
          <w:rFonts w:ascii="GibsonLight" w:eastAsia="Arial Unicode MS" w:hAnsi="GibsonLight"/>
          <w:spacing w:val="12"/>
          <w:sz w:val="22"/>
          <w:szCs w:val="22"/>
        </w:rPr>
        <w:t>the health care sector. These include</w:t>
      </w:r>
      <w:r w:rsidR="007174B9" w:rsidRPr="00E20483">
        <w:rPr>
          <w:rFonts w:ascii="GibsonLight" w:eastAsia="Arial Unicode MS" w:hAnsi="GibsonLight"/>
          <w:spacing w:val="12"/>
          <w:sz w:val="22"/>
          <w:szCs w:val="22"/>
        </w:rPr>
        <w:t>:</w:t>
      </w:r>
    </w:p>
    <w:p w14:paraId="74454951" w14:textId="5966E5F7" w:rsidR="009E2A5E" w:rsidRPr="00E20483" w:rsidRDefault="009E2A5E" w:rsidP="004B15D0">
      <w:pPr>
        <w:pStyle w:val="ListParagraph"/>
        <w:numPr>
          <w:ilvl w:val="0"/>
          <w:numId w:val="19"/>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Patient time</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Patient time lost due to illness or travel</w:t>
      </w:r>
    </w:p>
    <w:p w14:paraId="211A8D82" w14:textId="6B0A991E" w:rsidR="009E2A5E" w:rsidRPr="00E20483" w:rsidRDefault="009E2A5E" w:rsidP="004B15D0">
      <w:pPr>
        <w:pStyle w:val="ListParagraph"/>
        <w:numPr>
          <w:ilvl w:val="0"/>
          <w:numId w:val="19"/>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Caregiver time</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Costs associated with</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time and care provided by caregiver</w:t>
      </w:r>
    </w:p>
    <w:p w14:paraId="12B3690E" w14:textId="0B6DDF26" w:rsidR="009E2A5E" w:rsidRPr="00E20483" w:rsidRDefault="009E2A5E" w:rsidP="004B15D0">
      <w:pPr>
        <w:pStyle w:val="ListParagraph"/>
        <w:numPr>
          <w:ilvl w:val="0"/>
          <w:numId w:val="19"/>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Transportation</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Costs associated with travel to health care facility</w:t>
      </w:r>
    </w:p>
    <w:p w14:paraId="07D1F3BD" w14:textId="23DC41A2" w:rsidR="009E2A5E" w:rsidRPr="00E20483" w:rsidRDefault="009E2A5E" w:rsidP="004B15D0">
      <w:pPr>
        <w:pStyle w:val="ListParagraph"/>
        <w:numPr>
          <w:ilvl w:val="0"/>
          <w:numId w:val="19"/>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Productivity gains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Costs associated with on-job produ</w:t>
      </w:r>
      <w:r w:rsidR="00423963" w:rsidRPr="00E20483">
        <w:rPr>
          <w:rFonts w:ascii="GibsonLight" w:eastAsia="Arial Unicode MS" w:hAnsi="GibsonLight"/>
          <w:spacing w:val="12"/>
          <w:sz w:val="22"/>
          <w:szCs w:val="22"/>
        </w:rPr>
        <w:t xml:space="preserve">ctivity losses or </w:t>
      </w:r>
      <w:r w:rsidR="00D82361" w:rsidRPr="00E20483">
        <w:rPr>
          <w:rFonts w:ascii="GibsonLight" w:eastAsia="Arial Unicode MS" w:hAnsi="GibsonLight"/>
          <w:spacing w:val="12"/>
          <w:sz w:val="22"/>
          <w:szCs w:val="22"/>
        </w:rPr>
        <w:t>presentism</w:t>
      </w:r>
      <w:r w:rsidR="00423963" w:rsidRPr="00E20483">
        <w:rPr>
          <w:rFonts w:ascii="GibsonLight" w:eastAsia="Arial Unicode MS" w:hAnsi="GibsonLight"/>
          <w:spacing w:val="12"/>
          <w:sz w:val="22"/>
          <w:szCs w:val="22"/>
        </w:rPr>
        <w:t xml:space="preserve"> (i.e. </w:t>
      </w:r>
      <w:r w:rsidRPr="00E20483">
        <w:rPr>
          <w:rFonts w:ascii="GibsonLight" w:eastAsia="Arial Unicode MS" w:hAnsi="GibsonLight"/>
          <w:spacing w:val="12"/>
          <w:sz w:val="22"/>
          <w:szCs w:val="22"/>
        </w:rPr>
        <w:t>illnesses and medical problems that undermine job performance in the workforce</w:t>
      </w:r>
      <w:r w:rsidR="00423963"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p>
    <w:p w14:paraId="1C804F3D" w14:textId="387ED874" w:rsidR="009E2A5E" w:rsidRPr="00E20483" w:rsidRDefault="009E2A5E" w:rsidP="004B15D0">
      <w:pPr>
        <w:pStyle w:val="ListParagraph"/>
        <w:numPr>
          <w:ilvl w:val="0"/>
          <w:numId w:val="19"/>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Income loss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Income lost due to</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lost days of work</w:t>
      </w:r>
    </w:p>
    <w:p w14:paraId="016C85C5" w14:textId="1B69D113" w:rsidR="009E2A5E" w:rsidRPr="00E20483" w:rsidRDefault="009E2A5E" w:rsidP="004B15D0">
      <w:pPr>
        <w:pStyle w:val="Default"/>
        <w:numPr>
          <w:ilvl w:val="0"/>
          <w:numId w:val="19"/>
        </w:numPr>
        <w:ind w:left="1800"/>
        <w:rPr>
          <w:rFonts w:ascii="GibsonLight" w:eastAsia="Arial Unicode MS" w:hAnsi="GibsonLight" w:cs="Times New Roman"/>
          <w:color w:val="auto"/>
          <w:spacing w:val="12"/>
          <w:sz w:val="22"/>
          <w:szCs w:val="22"/>
          <w:lang w:eastAsia="en-US"/>
        </w:rPr>
      </w:pPr>
      <w:r w:rsidRPr="00E20483">
        <w:rPr>
          <w:rFonts w:ascii="GibsonLight" w:eastAsia="Arial Unicode MS" w:hAnsi="GibsonLight" w:cs="Times New Roman"/>
          <w:b/>
          <w:color w:val="auto"/>
          <w:spacing w:val="12"/>
          <w:sz w:val="22"/>
          <w:szCs w:val="22"/>
          <w:lang w:eastAsia="en-US"/>
        </w:rPr>
        <w:t>Consumption costs</w:t>
      </w:r>
      <w:r w:rsidR="007174B9" w:rsidRPr="00E20483">
        <w:rPr>
          <w:rFonts w:ascii="GibsonLight" w:eastAsia="Arial Unicode MS" w:hAnsi="GibsonLight" w:cs="Times New Roman"/>
          <w:color w:val="auto"/>
          <w:spacing w:val="12"/>
          <w:sz w:val="22"/>
          <w:szCs w:val="22"/>
          <w:lang w:eastAsia="en-US"/>
        </w:rPr>
        <w:t>:</w:t>
      </w:r>
      <w:r w:rsidRPr="00E20483">
        <w:rPr>
          <w:rFonts w:ascii="GibsonLight" w:eastAsia="Arial Unicode MS" w:hAnsi="GibsonLight" w:cs="Times New Roman"/>
          <w:color w:val="auto"/>
          <w:spacing w:val="12"/>
          <w:sz w:val="22"/>
          <w:szCs w:val="22"/>
          <w:lang w:eastAsia="en-US"/>
        </w:rPr>
        <w:t xml:space="preserve"> Costs associated with average annual expenditures that each person is expected to spend on food, alcoholic beverages, housing, transportation, entertainment, education, personal insurance, etc., excluding a</w:t>
      </w:r>
      <w:r w:rsidR="00423963" w:rsidRPr="00E20483">
        <w:rPr>
          <w:rFonts w:ascii="GibsonLight" w:eastAsia="Arial Unicode MS" w:hAnsi="GibsonLight" w:cs="Times New Roman"/>
          <w:color w:val="auto"/>
          <w:spacing w:val="12"/>
          <w:sz w:val="22"/>
          <w:szCs w:val="22"/>
          <w:lang w:eastAsia="en-US"/>
        </w:rPr>
        <w:t>nnual health care expenditures.</w:t>
      </w:r>
    </w:p>
    <w:p w14:paraId="3B54894B" w14:textId="3AFCB7F5" w:rsidR="009E2A5E" w:rsidRPr="00E20483" w:rsidRDefault="009E2A5E" w:rsidP="004B15D0">
      <w:pPr>
        <w:pStyle w:val="ListParagraph"/>
        <w:numPr>
          <w:ilvl w:val="0"/>
          <w:numId w:val="19"/>
        </w:numPr>
        <w:spacing w:after="120"/>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Other</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Other costs unrelated to treatment</w:t>
      </w:r>
      <w:r w:rsidR="005E2A55" w:rsidRPr="00E20483">
        <w:rPr>
          <w:rFonts w:ascii="GibsonLight" w:eastAsia="Arial Unicode MS" w:hAnsi="GibsonLight"/>
          <w:spacing w:val="12"/>
          <w:sz w:val="22"/>
          <w:szCs w:val="22"/>
        </w:rPr>
        <w:t>.</w:t>
      </w:r>
    </w:p>
    <w:p w14:paraId="3523DAF7" w14:textId="2F18855D" w:rsidR="009E2A5E" w:rsidRPr="00E20483" w:rsidRDefault="009E2A5E" w:rsidP="004B15D0">
      <w:pPr>
        <w:tabs>
          <w:tab w:val="left" w:pos="720"/>
        </w:tabs>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Other Costs/Sectors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423963" w:rsidRPr="00E20483">
        <w:rPr>
          <w:rFonts w:ascii="GibsonLight" w:eastAsia="Arial Unicode MS" w:hAnsi="GibsonLight"/>
          <w:spacing w:val="12"/>
          <w:sz w:val="22"/>
          <w:szCs w:val="22"/>
        </w:rPr>
        <w:t>All social opportunity costs, costs incurred by the community as a whole</w:t>
      </w:r>
      <w:r w:rsidR="005E2A55" w:rsidRPr="00E20483">
        <w:rPr>
          <w:rFonts w:ascii="GibsonLight" w:eastAsia="Arial Unicode MS" w:hAnsi="GibsonLight"/>
          <w:spacing w:val="12"/>
          <w:sz w:val="22"/>
          <w:szCs w:val="22"/>
        </w:rPr>
        <w:t>. These include:</w:t>
      </w:r>
    </w:p>
    <w:p w14:paraId="3B93F712" w14:textId="601DA721" w:rsidR="009E2A5E" w:rsidRPr="00E20483" w:rsidRDefault="009E2A5E" w:rsidP="004B15D0">
      <w:pPr>
        <w:pStyle w:val="ListParagraph"/>
        <w:numPr>
          <w:ilvl w:val="0"/>
          <w:numId w:val="20"/>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Public health</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Costs rel</w:t>
      </w:r>
      <w:r w:rsidR="00423963" w:rsidRPr="00E20483">
        <w:rPr>
          <w:rFonts w:ascii="GibsonLight" w:eastAsia="Arial Unicode MS" w:hAnsi="GibsonLight"/>
          <w:spacing w:val="12"/>
          <w:sz w:val="22"/>
          <w:szCs w:val="22"/>
        </w:rPr>
        <w:t>ated to public health resources</w:t>
      </w:r>
      <w:r w:rsidRPr="00E20483">
        <w:rPr>
          <w:rFonts w:ascii="GibsonLight" w:eastAsia="Arial Unicode MS" w:hAnsi="GibsonLight"/>
          <w:spacing w:val="12"/>
          <w:sz w:val="22"/>
          <w:szCs w:val="22"/>
        </w:rPr>
        <w:t xml:space="preserve"> </w:t>
      </w:r>
      <w:r w:rsidR="00423963"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e.g., shelters, public services, wellness programs, and food provisions</w:t>
      </w:r>
      <w:r w:rsidR="00423963"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w:t>
      </w:r>
    </w:p>
    <w:p w14:paraId="367A3000" w14:textId="0DB0E2A4" w:rsidR="009E2A5E" w:rsidRPr="00E20483" w:rsidRDefault="009E2A5E" w:rsidP="004B15D0">
      <w:pPr>
        <w:pStyle w:val="ListParagraph"/>
        <w:numPr>
          <w:ilvl w:val="0"/>
          <w:numId w:val="20"/>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Legal/criminal justice</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Costs related to arrests, convictions, days in jail/prison</w:t>
      </w:r>
    </w:p>
    <w:p w14:paraId="08904E43" w14:textId="77464C14" w:rsidR="009E2A5E" w:rsidRPr="00E20483" w:rsidRDefault="009E2A5E" w:rsidP="004B15D0">
      <w:pPr>
        <w:pStyle w:val="ListParagraph"/>
        <w:numPr>
          <w:ilvl w:val="0"/>
          <w:numId w:val="20"/>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Education</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Costs related to </w:t>
      </w:r>
      <w:r w:rsidR="00423963" w:rsidRPr="00E20483">
        <w:rPr>
          <w:rFonts w:ascii="GibsonLight" w:eastAsia="Arial Unicode MS" w:hAnsi="GibsonLight"/>
          <w:spacing w:val="12"/>
          <w:sz w:val="22"/>
          <w:szCs w:val="22"/>
        </w:rPr>
        <w:t>primary, secondary and higher education school</w:t>
      </w:r>
    </w:p>
    <w:p w14:paraId="23172726" w14:textId="10161C58" w:rsidR="009E2A5E" w:rsidRPr="00E20483" w:rsidRDefault="009E2A5E" w:rsidP="004B15D0">
      <w:pPr>
        <w:pStyle w:val="ListParagraph"/>
        <w:numPr>
          <w:ilvl w:val="0"/>
          <w:numId w:val="20"/>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Housing</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Costs related to public and private housing, property value</w:t>
      </w:r>
    </w:p>
    <w:p w14:paraId="4A45A93B" w14:textId="24396ED6" w:rsidR="009E2A5E" w:rsidRPr="00E20483" w:rsidRDefault="009E2A5E" w:rsidP="004B15D0">
      <w:pPr>
        <w:pStyle w:val="ListParagraph"/>
        <w:numPr>
          <w:ilvl w:val="0"/>
          <w:numId w:val="20"/>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Environment</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Costs related to environmental impact of the intervention</w:t>
      </w:r>
    </w:p>
    <w:p w14:paraId="3134FC76" w14:textId="7865D6DA" w:rsidR="00845D61" w:rsidRPr="00E20483" w:rsidRDefault="00845D61" w:rsidP="004B15D0">
      <w:pPr>
        <w:pStyle w:val="ListParagraph"/>
        <w:numPr>
          <w:ilvl w:val="0"/>
          <w:numId w:val="20"/>
        </w:numPr>
        <w:spacing w:after="120"/>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Other</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Other s</w:t>
      </w:r>
      <w:r w:rsidR="005E2A55" w:rsidRPr="00E20483">
        <w:rPr>
          <w:rFonts w:ascii="GibsonLight" w:eastAsia="Arial Unicode MS" w:hAnsi="GibsonLight"/>
          <w:spacing w:val="12"/>
          <w:sz w:val="22"/>
          <w:szCs w:val="22"/>
        </w:rPr>
        <w:t>ocietal costs not listed above.</w:t>
      </w:r>
    </w:p>
    <w:p w14:paraId="6D7A20C3" w14:textId="3080B668" w:rsidR="009E2A5E" w:rsidRPr="00E20483" w:rsidRDefault="00845D61"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Cost components were not reported</w:t>
      </w:r>
      <w:r w:rsidR="007174B9" w:rsidRPr="00E20483">
        <w:rPr>
          <w:rFonts w:ascii="GibsonLight" w:eastAsia="Arial Unicode MS" w:hAnsi="GibsonLight"/>
          <w:spacing w:val="12"/>
          <w:sz w:val="22"/>
          <w:szCs w:val="22"/>
        </w:rPr>
        <w:t>:</w:t>
      </w:r>
      <w:r w:rsidR="009E2A5E" w:rsidRPr="00E20483">
        <w:rPr>
          <w:rFonts w:ascii="GibsonLight" w:eastAsia="Arial Unicode MS" w:hAnsi="GibsonLight"/>
          <w:spacing w:val="12"/>
          <w:sz w:val="22"/>
          <w:szCs w:val="22"/>
        </w:rPr>
        <w:t xml:space="preserve"> The study does not provide sufficient information to determine the type of costs included</w:t>
      </w:r>
      <w:r w:rsidRPr="00E20483">
        <w:rPr>
          <w:rFonts w:ascii="GibsonLight" w:eastAsia="Arial Unicode MS" w:hAnsi="GibsonLight"/>
          <w:spacing w:val="12"/>
          <w:sz w:val="22"/>
          <w:szCs w:val="22"/>
        </w:rPr>
        <w:t>.</w:t>
      </w:r>
    </w:p>
    <w:p w14:paraId="64C2A6E4" w14:textId="6ED85CE7" w:rsidR="00845D61" w:rsidRPr="00E20483" w:rsidRDefault="00845D61" w:rsidP="004B15D0">
      <w:pPr>
        <w:numPr>
          <w:ilvl w:val="0"/>
          <w:numId w:val="1"/>
        </w:numPr>
        <w:tabs>
          <w:tab w:val="num" w:pos="360"/>
        </w:tabs>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Discounting</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 xml:space="preserve">Money available or spent now is more valuable than money available or spent in the future because of opportunity costs. Discounting quantifies this time preference and places all economic costs in terms of the present value of money. When health effects can be valued in </w:t>
      </w:r>
      <w:r w:rsidRPr="00E20483">
        <w:rPr>
          <w:rFonts w:ascii="GibsonLight" w:eastAsia="Arial Unicode MS" w:hAnsi="GibsonLight"/>
          <w:spacing w:val="12"/>
          <w:sz w:val="22"/>
          <w:szCs w:val="22"/>
        </w:rPr>
        <w:lastRenderedPageBreak/>
        <w:t>monetary terms over a period of time, then both health effects and associated costs can be discounted. The following discounting options are given</w:t>
      </w:r>
      <w:r w:rsidR="007174B9" w:rsidRPr="00E20483">
        <w:rPr>
          <w:rFonts w:ascii="GibsonLight" w:eastAsia="Arial Unicode MS" w:hAnsi="GibsonLight"/>
          <w:spacing w:val="12"/>
          <w:sz w:val="22"/>
          <w:szCs w:val="22"/>
        </w:rPr>
        <w:t>:</w:t>
      </w:r>
    </w:p>
    <w:p w14:paraId="1A8973CA" w14:textId="7A26F7BA" w:rsidR="00845D61" w:rsidRPr="00E20483" w:rsidRDefault="00845D61"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Yes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The </w:t>
      </w:r>
      <w:r w:rsidR="00EB3A1F" w:rsidRPr="00E20483">
        <w:rPr>
          <w:rFonts w:ascii="GibsonLight" w:eastAsia="Arial Unicode MS" w:hAnsi="GibsonLight"/>
          <w:spacing w:val="12"/>
          <w:sz w:val="22"/>
          <w:szCs w:val="22"/>
        </w:rPr>
        <w:t>study</w:t>
      </w:r>
      <w:r w:rsidRPr="00E20483">
        <w:rPr>
          <w:rFonts w:ascii="GibsonLight" w:eastAsia="Arial Unicode MS" w:hAnsi="GibsonLight"/>
          <w:spacing w:val="12"/>
          <w:sz w:val="22"/>
          <w:szCs w:val="22"/>
        </w:rPr>
        <w:t xml:space="preserve"> explicitly reported the discount rate for costs and/or QALYs</w:t>
      </w:r>
      <w:r w:rsidR="00654F3F" w:rsidRPr="00E20483">
        <w:rPr>
          <w:rFonts w:ascii="GibsonLight" w:eastAsia="Arial Unicode MS" w:hAnsi="GibsonLight"/>
          <w:spacing w:val="12"/>
          <w:sz w:val="22"/>
          <w:szCs w:val="22"/>
        </w:rPr>
        <w:t>/DALYs</w:t>
      </w:r>
      <w:r w:rsidRPr="00E20483">
        <w:rPr>
          <w:rFonts w:ascii="GibsonLight" w:eastAsia="Arial Unicode MS" w:hAnsi="GibsonLight"/>
          <w:spacing w:val="12"/>
          <w:sz w:val="22"/>
          <w:szCs w:val="22"/>
        </w:rPr>
        <w:t xml:space="preserve">. </w:t>
      </w:r>
    </w:p>
    <w:p w14:paraId="262BC2A2" w14:textId="506773F6" w:rsidR="00845D61" w:rsidRPr="00E20483" w:rsidRDefault="00845D61"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The </w:t>
      </w:r>
      <w:r w:rsidR="00EB3A1F" w:rsidRPr="00E20483">
        <w:rPr>
          <w:rFonts w:ascii="GibsonLight" w:eastAsia="Arial Unicode MS" w:hAnsi="GibsonLight"/>
          <w:spacing w:val="12"/>
          <w:sz w:val="22"/>
          <w:szCs w:val="22"/>
        </w:rPr>
        <w:t>study</w:t>
      </w:r>
      <w:r w:rsidRPr="00E20483">
        <w:rPr>
          <w:rFonts w:ascii="GibsonLight" w:eastAsia="Arial Unicode MS" w:hAnsi="GibsonLight"/>
          <w:spacing w:val="12"/>
          <w:sz w:val="22"/>
          <w:szCs w:val="22"/>
        </w:rPr>
        <w:t xml:space="preserve"> explicitly stated that they did </w:t>
      </w:r>
      <w:r w:rsidRPr="00E20483">
        <w:rPr>
          <w:rFonts w:ascii="GibsonLight" w:eastAsia="Arial Unicode MS" w:hAnsi="GibsonLight"/>
          <w:spacing w:val="12"/>
          <w:sz w:val="22"/>
          <w:szCs w:val="22"/>
          <w:u w:val="single"/>
        </w:rPr>
        <w:t>not</w:t>
      </w:r>
      <w:r w:rsidRPr="00E20483">
        <w:rPr>
          <w:rFonts w:ascii="GibsonLight" w:eastAsia="Arial Unicode MS" w:hAnsi="GibsonLight"/>
          <w:spacing w:val="12"/>
          <w:sz w:val="22"/>
          <w:szCs w:val="22"/>
        </w:rPr>
        <w:t xml:space="preserve"> discount costs and/or QALYs</w:t>
      </w:r>
      <w:r w:rsidR="00654F3F" w:rsidRPr="00E20483">
        <w:rPr>
          <w:rFonts w:ascii="GibsonLight" w:eastAsia="Arial Unicode MS" w:hAnsi="GibsonLight"/>
          <w:spacing w:val="12"/>
          <w:sz w:val="22"/>
          <w:szCs w:val="22"/>
        </w:rPr>
        <w:t>/DALYs</w:t>
      </w:r>
      <w:r w:rsidRPr="00E20483">
        <w:rPr>
          <w:rFonts w:ascii="GibsonLight" w:eastAsia="Arial Unicode MS" w:hAnsi="GibsonLight"/>
          <w:spacing w:val="12"/>
          <w:sz w:val="22"/>
          <w:szCs w:val="22"/>
        </w:rPr>
        <w:t xml:space="preserve">. </w:t>
      </w:r>
    </w:p>
    <w:p w14:paraId="77D687CE" w14:textId="22A62277" w:rsidR="00845D61" w:rsidRPr="00E20483" w:rsidRDefault="00845D61"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Not Applicable</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Discounting for costs and/or QALYs</w:t>
      </w:r>
      <w:r w:rsidR="00654F3F" w:rsidRPr="00E20483">
        <w:rPr>
          <w:rFonts w:ascii="GibsonLight" w:eastAsia="Arial Unicode MS" w:hAnsi="GibsonLight"/>
          <w:spacing w:val="12"/>
          <w:sz w:val="22"/>
          <w:szCs w:val="22"/>
        </w:rPr>
        <w:t>/DALYs</w:t>
      </w:r>
      <w:r w:rsidRPr="00E20483">
        <w:rPr>
          <w:rFonts w:ascii="GibsonLight" w:eastAsia="Arial Unicode MS" w:hAnsi="GibsonLight"/>
          <w:spacing w:val="12"/>
          <w:sz w:val="22"/>
          <w:szCs w:val="22"/>
        </w:rPr>
        <w:t xml:space="preserve"> was not appropriate to the study (i.e. the time horizon was too short to apply discounting). Discounting is not applicable if and only if the time horizon is </w:t>
      </w:r>
      <w:r w:rsidR="005E2A55" w:rsidRPr="00E20483">
        <w:rPr>
          <w:rFonts w:ascii="GibsonLight" w:eastAsia="Arial Unicode MS" w:hAnsi="GibsonLight"/>
          <w:spacing w:val="12"/>
          <w:sz w:val="22"/>
          <w:szCs w:val="22"/>
        </w:rPr>
        <w:t>equal to or less than one year.</w:t>
      </w:r>
    </w:p>
    <w:p w14:paraId="7C24EA8F" w14:textId="591F9315" w:rsidR="00845D61" w:rsidRPr="00E20483" w:rsidRDefault="00845D61"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Could not be determined</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The study does not provide sufficient information to determine if discounting for costs and/or QALYs</w:t>
      </w:r>
      <w:r w:rsidR="00654F3F" w:rsidRPr="00E20483">
        <w:rPr>
          <w:rFonts w:ascii="GibsonLight" w:eastAsia="Arial Unicode MS" w:hAnsi="GibsonLight"/>
          <w:spacing w:val="12"/>
          <w:sz w:val="22"/>
          <w:szCs w:val="22"/>
        </w:rPr>
        <w:t>/DALYs</w:t>
      </w:r>
      <w:r w:rsidRPr="00E20483">
        <w:rPr>
          <w:rFonts w:ascii="GibsonLight" w:eastAsia="Arial Unicode MS" w:hAnsi="GibsonLight"/>
          <w:spacing w:val="12"/>
          <w:sz w:val="22"/>
          <w:szCs w:val="22"/>
        </w:rPr>
        <w:t xml:space="preserve"> was done.</w:t>
      </w:r>
    </w:p>
    <w:p w14:paraId="29DD78C8" w14:textId="64A7CEF0" w:rsidR="00410AC4" w:rsidRPr="00E20483" w:rsidRDefault="00845D61" w:rsidP="004B15D0">
      <w:pPr>
        <w:numPr>
          <w:ilvl w:val="0"/>
          <w:numId w:val="1"/>
        </w:numPr>
        <w:tabs>
          <w:tab w:val="num" w:pos="360"/>
        </w:tabs>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Currency of the CE Ratio</w:t>
      </w:r>
      <w:r w:rsidR="007174B9" w:rsidRPr="00E20483">
        <w:rPr>
          <w:rFonts w:ascii="GibsonLight" w:eastAsia="Arial Unicode MS" w:hAnsi="GibsonLight"/>
          <w:spacing w:val="12"/>
          <w:sz w:val="22"/>
          <w:szCs w:val="22"/>
        </w:rPr>
        <w:t>:</w:t>
      </w:r>
      <w:r w:rsidRPr="00E20483">
        <w:rPr>
          <w:rFonts w:ascii="GibsonLight" w:eastAsia="Arial Unicode MS" w:hAnsi="GibsonLight"/>
          <w:bCs/>
          <w:spacing w:val="12"/>
          <w:sz w:val="22"/>
          <w:szCs w:val="22"/>
        </w:rPr>
        <w:t xml:space="preserve"> The currency the authors adopted or converted to in the study. If the currency and year are not given, we assume the currency used in the analysis is denominated in currency of the country in which the analysis represents and valued 2 years prior to article publication.</w:t>
      </w:r>
    </w:p>
    <w:p w14:paraId="565526A0" w14:textId="0283A010" w:rsidR="00845D61" w:rsidRPr="00E20483" w:rsidRDefault="00845D61" w:rsidP="004B15D0">
      <w:pPr>
        <w:numPr>
          <w:ilvl w:val="0"/>
          <w:numId w:val="1"/>
        </w:numPr>
        <w:tabs>
          <w:tab w:val="num" w:pos="360"/>
        </w:tabs>
        <w:spacing w:after="120"/>
        <w:ind w:left="450" w:hanging="450"/>
        <w:rPr>
          <w:rFonts w:ascii="GibsonLight" w:eastAsia="Arial Unicode MS" w:hAnsi="GibsonLight"/>
          <w:b/>
          <w:spacing w:val="12"/>
          <w:sz w:val="22"/>
          <w:szCs w:val="22"/>
        </w:rPr>
      </w:pPr>
      <w:r w:rsidRPr="00E20483">
        <w:rPr>
          <w:rFonts w:ascii="GibsonLight" w:eastAsia="Arial Unicode MS" w:hAnsi="GibsonLight"/>
          <w:b/>
          <w:color w:val="000000"/>
          <w:spacing w:val="12"/>
          <w:sz w:val="22"/>
          <w:szCs w:val="22"/>
        </w:rPr>
        <w:t>Cost-effectiveness</w:t>
      </w:r>
      <w:r w:rsidRPr="00E20483">
        <w:rPr>
          <w:rFonts w:ascii="GibsonLight" w:eastAsia="Arial Unicode MS" w:hAnsi="GibsonLight"/>
          <w:spacing w:val="12"/>
          <w:sz w:val="22"/>
          <w:szCs w:val="22"/>
        </w:rPr>
        <w:t xml:space="preserve"> </w:t>
      </w:r>
      <w:r w:rsidRPr="00E20483">
        <w:rPr>
          <w:rFonts w:ascii="GibsonLight" w:eastAsia="Arial Unicode MS" w:hAnsi="GibsonLight"/>
          <w:b/>
          <w:color w:val="000000"/>
          <w:spacing w:val="12"/>
          <w:sz w:val="22"/>
          <w:szCs w:val="22"/>
        </w:rPr>
        <w:t>threshold</w:t>
      </w:r>
      <w:r w:rsidR="007174B9" w:rsidRPr="00E20483">
        <w:rPr>
          <w:rFonts w:ascii="GibsonLight" w:eastAsia="Arial Unicode MS" w:hAnsi="GibsonLight"/>
          <w:color w:val="000000"/>
          <w:spacing w:val="12"/>
          <w:sz w:val="22"/>
          <w:szCs w:val="22"/>
        </w:rPr>
        <w:t>:</w:t>
      </w:r>
      <w:r w:rsidRPr="00E20483">
        <w:rPr>
          <w:rFonts w:ascii="GibsonLight" w:eastAsia="Arial Unicode MS" w:hAnsi="GibsonLight"/>
          <w:b/>
          <w:color w:val="000000"/>
          <w:spacing w:val="12"/>
          <w:sz w:val="22"/>
          <w:szCs w:val="22"/>
        </w:rPr>
        <w:t xml:space="preserve"> </w:t>
      </w:r>
      <w:r w:rsidRPr="00E20483">
        <w:rPr>
          <w:rFonts w:ascii="GibsonLight" w:eastAsia="Arial Unicode MS" w:hAnsi="GibsonLight"/>
          <w:color w:val="000000"/>
          <w:spacing w:val="12"/>
          <w:sz w:val="22"/>
          <w:szCs w:val="22"/>
        </w:rPr>
        <w:t>The incremental cost-effectiveness ratio (ICER) that the study authors used to assess whether the intervention is cost-effective.</w:t>
      </w:r>
    </w:p>
    <w:p w14:paraId="73E7BC23" w14:textId="362D226C" w:rsidR="0043399D" w:rsidRPr="00E20483" w:rsidRDefault="0043399D" w:rsidP="004B15D0">
      <w:pPr>
        <w:spacing w:after="120"/>
        <w:ind w:left="720"/>
        <w:rPr>
          <w:rFonts w:ascii="GibsonLight" w:eastAsia="Arial Unicode MS" w:hAnsi="GibsonLight"/>
          <w:color w:val="000000"/>
          <w:spacing w:val="12"/>
          <w:sz w:val="22"/>
          <w:szCs w:val="22"/>
        </w:rPr>
      </w:pPr>
      <w:r w:rsidRPr="00E20483">
        <w:rPr>
          <w:rFonts w:ascii="GibsonLight" w:eastAsia="Arial Unicode MS" w:hAnsi="GibsonLight"/>
          <w:b/>
          <w:color w:val="000000"/>
          <w:spacing w:val="12"/>
          <w:sz w:val="22"/>
          <w:szCs w:val="22"/>
        </w:rPr>
        <w:t>$US</w:t>
      </w:r>
      <w:r w:rsidR="007174B9" w:rsidRPr="00E20483">
        <w:rPr>
          <w:rFonts w:ascii="GibsonLight" w:eastAsia="Arial Unicode MS" w:hAnsi="GibsonLight"/>
          <w:color w:val="000000"/>
          <w:spacing w:val="12"/>
          <w:sz w:val="22"/>
          <w:szCs w:val="22"/>
        </w:rPr>
        <w:t>:</w:t>
      </w:r>
      <w:r w:rsidRPr="00E20483">
        <w:rPr>
          <w:rFonts w:ascii="GibsonLight" w:eastAsia="Arial Unicode MS" w:hAnsi="GibsonLight"/>
          <w:b/>
          <w:color w:val="000000"/>
          <w:spacing w:val="12"/>
          <w:sz w:val="22"/>
          <w:szCs w:val="22"/>
        </w:rPr>
        <w:t xml:space="preserve"> </w:t>
      </w:r>
      <w:r w:rsidRPr="00E20483">
        <w:rPr>
          <w:rFonts w:ascii="GibsonLight" w:eastAsia="Arial Unicode MS" w:hAnsi="GibsonLight"/>
          <w:color w:val="000000"/>
          <w:spacing w:val="12"/>
          <w:sz w:val="22"/>
          <w:szCs w:val="22"/>
        </w:rPr>
        <w:t>The threshold was valued in US dollars.</w:t>
      </w:r>
    </w:p>
    <w:p w14:paraId="785CE01B" w14:textId="7954116C" w:rsidR="0043399D" w:rsidRPr="00E20483" w:rsidRDefault="0043399D" w:rsidP="004B15D0">
      <w:pPr>
        <w:pStyle w:val="ListParagraph"/>
        <w:numPr>
          <w:ilvl w:val="0"/>
          <w:numId w:val="21"/>
        </w:numPr>
        <w:ind w:left="1800"/>
        <w:rPr>
          <w:rFonts w:ascii="GibsonLight" w:eastAsia="Arial Unicode MS" w:hAnsi="GibsonLight"/>
          <w:b/>
          <w:color w:val="000000"/>
          <w:spacing w:val="12"/>
          <w:sz w:val="22"/>
          <w:szCs w:val="22"/>
        </w:rPr>
      </w:pPr>
      <w:r w:rsidRPr="00E20483">
        <w:rPr>
          <w:rFonts w:ascii="GibsonLight" w:eastAsia="Arial Unicode MS" w:hAnsi="GibsonLight"/>
          <w:b/>
          <w:color w:val="000000"/>
          <w:spacing w:val="12"/>
          <w:sz w:val="22"/>
          <w:szCs w:val="22"/>
        </w:rPr>
        <w:t>US $50K</w:t>
      </w:r>
      <w:r w:rsidR="007174B9" w:rsidRPr="00E20483">
        <w:rPr>
          <w:rFonts w:ascii="GibsonLight" w:eastAsia="Arial Unicode MS" w:hAnsi="GibsonLight"/>
          <w:color w:val="000000"/>
          <w:spacing w:val="12"/>
          <w:sz w:val="22"/>
          <w:szCs w:val="22"/>
        </w:rPr>
        <w:t>:</w:t>
      </w:r>
      <w:r w:rsidRPr="00E20483">
        <w:rPr>
          <w:rFonts w:ascii="GibsonLight" w:eastAsia="Arial Unicode MS" w:hAnsi="GibsonLight"/>
          <w:color w:val="000000"/>
          <w:spacing w:val="12"/>
          <w:sz w:val="22"/>
          <w:szCs w:val="22"/>
        </w:rPr>
        <w:t xml:space="preserve"> $50,000/QALY or $50,000/DALY</w:t>
      </w:r>
    </w:p>
    <w:p w14:paraId="34B8012E" w14:textId="4AB91806" w:rsidR="0043399D" w:rsidRPr="00E20483" w:rsidRDefault="0043399D" w:rsidP="004B15D0">
      <w:pPr>
        <w:pStyle w:val="ListParagraph"/>
        <w:numPr>
          <w:ilvl w:val="0"/>
          <w:numId w:val="21"/>
        </w:numPr>
        <w:ind w:left="1800"/>
        <w:rPr>
          <w:rFonts w:ascii="GibsonLight" w:eastAsia="Arial Unicode MS" w:hAnsi="GibsonLight"/>
          <w:b/>
          <w:color w:val="000000"/>
          <w:spacing w:val="12"/>
          <w:sz w:val="22"/>
          <w:szCs w:val="22"/>
        </w:rPr>
      </w:pPr>
      <w:r w:rsidRPr="00E20483">
        <w:rPr>
          <w:rFonts w:ascii="GibsonLight" w:eastAsia="Arial Unicode MS" w:hAnsi="GibsonLight"/>
          <w:b/>
          <w:color w:val="000000"/>
          <w:spacing w:val="12"/>
          <w:sz w:val="22"/>
          <w:szCs w:val="22"/>
        </w:rPr>
        <w:t>US</w:t>
      </w:r>
      <w:r w:rsidR="00845D61" w:rsidRPr="00E20483">
        <w:rPr>
          <w:rFonts w:ascii="GibsonLight" w:eastAsia="Arial Unicode MS" w:hAnsi="GibsonLight"/>
          <w:b/>
          <w:color w:val="000000"/>
          <w:spacing w:val="12"/>
          <w:sz w:val="22"/>
          <w:szCs w:val="22"/>
        </w:rPr>
        <w:t xml:space="preserve"> </w:t>
      </w:r>
      <w:r w:rsidRPr="00E20483">
        <w:rPr>
          <w:rFonts w:ascii="GibsonLight" w:eastAsia="Arial Unicode MS" w:hAnsi="GibsonLight"/>
          <w:b/>
          <w:color w:val="000000"/>
          <w:spacing w:val="12"/>
          <w:sz w:val="22"/>
          <w:szCs w:val="22"/>
        </w:rPr>
        <w:t>$</w:t>
      </w:r>
      <w:r w:rsidR="00845D61" w:rsidRPr="00E20483">
        <w:rPr>
          <w:rFonts w:ascii="GibsonLight" w:eastAsia="Arial Unicode MS" w:hAnsi="GibsonLight"/>
          <w:b/>
          <w:color w:val="000000"/>
          <w:spacing w:val="12"/>
          <w:sz w:val="22"/>
          <w:szCs w:val="22"/>
        </w:rPr>
        <w:t>100K</w:t>
      </w:r>
      <w:r w:rsidR="007174B9" w:rsidRPr="00E20483">
        <w:rPr>
          <w:rFonts w:ascii="GibsonLight" w:eastAsia="Arial Unicode MS" w:hAnsi="GibsonLight"/>
          <w:color w:val="000000"/>
          <w:spacing w:val="12"/>
          <w:sz w:val="22"/>
          <w:szCs w:val="22"/>
        </w:rPr>
        <w:t>:</w:t>
      </w:r>
      <w:r w:rsidRPr="00E20483">
        <w:rPr>
          <w:rFonts w:ascii="GibsonLight" w:eastAsia="Arial Unicode MS" w:hAnsi="GibsonLight"/>
          <w:color w:val="000000"/>
          <w:spacing w:val="12"/>
          <w:sz w:val="22"/>
          <w:szCs w:val="22"/>
        </w:rPr>
        <w:t xml:space="preserve"> $100,000/QALY or $100,000/DALY</w:t>
      </w:r>
    </w:p>
    <w:p w14:paraId="1BB7BC7E" w14:textId="3253581A" w:rsidR="00845D61" w:rsidRPr="00E20483" w:rsidRDefault="00845D61" w:rsidP="004B15D0">
      <w:pPr>
        <w:pStyle w:val="ListParagraph"/>
        <w:numPr>
          <w:ilvl w:val="0"/>
          <w:numId w:val="21"/>
        </w:numPr>
        <w:ind w:left="1800"/>
        <w:rPr>
          <w:rFonts w:ascii="GibsonLight" w:eastAsia="Arial Unicode MS" w:hAnsi="GibsonLight"/>
          <w:color w:val="000000"/>
          <w:spacing w:val="12"/>
          <w:sz w:val="22"/>
          <w:szCs w:val="22"/>
        </w:rPr>
      </w:pPr>
      <w:r w:rsidRPr="00E20483">
        <w:rPr>
          <w:rFonts w:ascii="GibsonLight" w:eastAsia="Arial Unicode MS" w:hAnsi="GibsonLight"/>
          <w:b/>
          <w:color w:val="000000"/>
          <w:spacing w:val="12"/>
          <w:sz w:val="22"/>
          <w:szCs w:val="22"/>
        </w:rPr>
        <w:t>US</w:t>
      </w:r>
      <w:r w:rsidR="0043399D" w:rsidRPr="00E20483">
        <w:rPr>
          <w:rFonts w:ascii="GibsonLight" w:eastAsia="Arial Unicode MS" w:hAnsi="GibsonLight"/>
          <w:b/>
          <w:color w:val="000000"/>
          <w:spacing w:val="12"/>
          <w:sz w:val="22"/>
          <w:szCs w:val="22"/>
        </w:rPr>
        <w:t xml:space="preserve"> </w:t>
      </w:r>
      <w:r w:rsidRPr="00E20483">
        <w:rPr>
          <w:rFonts w:ascii="GibsonLight" w:eastAsia="Arial Unicode MS" w:hAnsi="GibsonLight"/>
          <w:b/>
          <w:color w:val="000000"/>
          <w:spacing w:val="12"/>
          <w:sz w:val="22"/>
          <w:szCs w:val="22"/>
        </w:rPr>
        <w:t>$</w:t>
      </w:r>
      <w:r w:rsidR="0043399D" w:rsidRPr="00E20483">
        <w:rPr>
          <w:rFonts w:ascii="GibsonLight" w:eastAsia="Arial Unicode MS" w:hAnsi="GibsonLight"/>
          <w:b/>
          <w:color w:val="000000"/>
          <w:spacing w:val="12"/>
          <w:sz w:val="22"/>
          <w:szCs w:val="22"/>
        </w:rPr>
        <w:t>150</w:t>
      </w:r>
      <w:r w:rsidR="007174B9" w:rsidRPr="00E20483">
        <w:rPr>
          <w:rFonts w:ascii="GibsonLight" w:eastAsia="Arial Unicode MS" w:hAnsi="GibsonLight"/>
          <w:color w:val="000000"/>
          <w:spacing w:val="12"/>
          <w:sz w:val="22"/>
          <w:szCs w:val="22"/>
        </w:rPr>
        <w:t>:</w:t>
      </w:r>
      <w:r w:rsidR="0043399D" w:rsidRPr="00E20483">
        <w:rPr>
          <w:rFonts w:ascii="GibsonLight" w:eastAsia="Arial Unicode MS" w:hAnsi="GibsonLight"/>
          <w:color w:val="000000"/>
          <w:spacing w:val="12"/>
          <w:sz w:val="22"/>
          <w:szCs w:val="22"/>
        </w:rPr>
        <w:t xml:space="preserve"> $150,000/QALY or $150,000/DALY</w:t>
      </w:r>
    </w:p>
    <w:p w14:paraId="7B1BA652" w14:textId="6C1F347E" w:rsidR="0043399D" w:rsidRPr="00E20483" w:rsidRDefault="0043399D" w:rsidP="004B15D0">
      <w:pPr>
        <w:pStyle w:val="ListParagraph"/>
        <w:numPr>
          <w:ilvl w:val="0"/>
          <w:numId w:val="21"/>
        </w:numPr>
        <w:ind w:left="1800"/>
        <w:rPr>
          <w:rFonts w:ascii="GibsonLight" w:eastAsia="Arial Unicode MS" w:hAnsi="GibsonLight"/>
          <w:color w:val="000000"/>
          <w:spacing w:val="12"/>
          <w:sz w:val="22"/>
          <w:szCs w:val="22"/>
        </w:rPr>
      </w:pPr>
      <w:r w:rsidRPr="00E20483">
        <w:rPr>
          <w:rFonts w:ascii="GibsonLight" w:eastAsia="Arial Unicode MS" w:hAnsi="GibsonLight"/>
          <w:b/>
          <w:color w:val="000000"/>
          <w:spacing w:val="12"/>
          <w:sz w:val="22"/>
          <w:szCs w:val="22"/>
        </w:rPr>
        <w:t>Range</w:t>
      </w:r>
      <w:r w:rsidR="007174B9" w:rsidRPr="00E20483">
        <w:rPr>
          <w:rFonts w:ascii="GibsonLight" w:eastAsia="Arial Unicode MS" w:hAnsi="GibsonLight"/>
          <w:color w:val="000000"/>
          <w:spacing w:val="12"/>
          <w:sz w:val="22"/>
          <w:szCs w:val="22"/>
        </w:rPr>
        <w:t>:</w:t>
      </w:r>
      <w:r w:rsidRPr="00E20483">
        <w:rPr>
          <w:rFonts w:ascii="GibsonLight" w:eastAsia="Arial Unicode MS" w:hAnsi="GibsonLight"/>
          <w:color w:val="000000"/>
          <w:spacing w:val="12"/>
          <w:sz w:val="22"/>
          <w:szCs w:val="22"/>
        </w:rPr>
        <w:t xml:space="preserve"> A range in US</w:t>
      </w:r>
      <w:r w:rsidR="00E05E33" w:rsidRPr="00E20483">
        <w:rPr>
          <w:rFonts w:ascii="GibsonLight" w:eastAsia="Arial Unicode MS" w:hAnsi="GibsonLight"/>
          <w:color w:val="000000"/>
          <w:spacing w:val="12"/>
          <w:sz w:val="22"/>
          <w:szCs w:val="22"/>
        </w:rPr>
        <w:t>$ is provided as the threshold.</w:t>
      </w:r>
    </w:p>
    <w:p w14:paraId="42CE345F" w14:textId="39B31493" w:rsidR="0043399D" w:rsidRPr="00E20483" w:rsidRDefault="0043399D" w:rsidP="004B15D0">
      <w:pPr>
        <w:pStyle w:val="ListParagraph"/>
        <w:numPr>
          <w:ilvl w:val="0"/>
          <w:numId w:val="21"/>
        </w:numPr>
        <w:spacing w:after="120"/>
        <w:ind w:left="1800"/>
        <w:rPr>
          <w:rFonts w:ascii="GibsonLight" w:eastAsia="Arial Unicode MS" w:hAnsi="GibsonLight"/>
          <w:color w:val="000000"/>
          <w:spacing w:val="12"/>
          <w:sz w:val="22"/>
          <w:szCs w:val="22"/>
        </w:rPr>
      </w:pPr>
      <w:r w:rsidRPr="00E20483">
        <w:rPr>
          <w:rFonts w:ascii="GibsonLight" w:eastAsia="Arial Unicode MS" w:hAnsi="GibsonLight"/>
          <w:b/>
          <w:color w:val="000000"/>
          <w:spacing w:val="12"/>
          <w:sz w:val="22"/>
          <w:szCs w:val="22"/>
        </w:rPr>
        <w:t>Other US Value</w:t>
      </w:r>
      <w:r w:rsidR="007174B9" w:rsidRPr="00E20483">
        <w:rPr>
          <w:rFonts w:ascii="GibsonLight" w:eastAsia="Arial Unicode MS" w:hAnsi="GibsonLight"/>
          <w:color w:val="000000"/>
          <w:spacing w:val="12"/>
          <w:sz w:val="22"/>
          <w:szCs w:val="22"/>
        </w:rPr>
        <w:t>:</w:t>
      </w:r>
      <w:r w:rsidRPr="00E20483">
        <w:rPr>
          <w:rFonts w:ascii="GibsonLight" w:eastAsia="Arial Unicode MS" w:hAnsi="GibsonLight"/>
          <w:color w:val="000000"/>
          <w:spacing w:val="12"/>
          <w:sz w:val="22"/>
          <w:szCs w:val="22"/>
        </w:rPr>
        <w:t xml:space="preserve"> The study reported a single value threshold in US do</w:t>
      </w:r>
      <w:r w:rsidR="00E05E33" w:rsidRPr="00E20483">
        <w:rPr>
          <w:rFonts w:ascii="GibsonLight" w:eastAsia="Arial Unicode MS" w:hAnsi="GibsonLight"/>
          <w:color w:val="000000"/>
          <w:spacing w:val="12"/>
          <w:sz w:val="22"/>
          <w:szCs w:val="22"/>
        </w:rPr>
        <w:t>llars that is not listed above.</w:t>
      </w:r>
    </w:p>
    <w:p w14:paraId="2E30A934" w14:textId="262920E6" w:rsidR="0043399D" w:rsidRPr="00E20483" w:rsidRDefault="00845D61" w:rsidP="004B15D0">
      <w:pPr>
        <w:spacing w:after="120"/>
        <w:ind w:left="720"/>
        <w:rPr>
          <w:rFonts w:ascii="GibsonLight" w:eastAsia="Arial Unicode MS" w:hAnsi="GibsonLight"/>
          <w:color w:val="000000"/>
          <w:spacing w:val="12"/>
          <w:sz w:val="22"/>
          <w:szCs w:val="22"/>
        </w:rPr>
      </w:pPr>
      <w:r w:rsidRPr="00E20483">
        <w:rPr>
          <w:rFonts w:ascii="GibsonLight" w:eastAsia="Arial Unicode MS" w:hAnsi="GibsonLight"/>
          <w:b/>
          <w:color w:val="000000"/>
          <w:spacing w:val="12"/>
          <w:sz w:val="22"/>
          <w:szCs w:val="22"/>
        </w:rPr>
        <w:t>Other Non-US</w:t>
      </w:r>
      <w:r w:rsidR="007174B9" w:rsidRPr="00E20483">
        <w:rPr>
          <w:rFonts w:ascii="GibsonLight" w:eastAsia="Arial Unicode MS" w:hAnsi="GibsonLight"/>
          <w:color w:val="000000"/>
          <w:spacing w:val="12"/>
          <w:sz w:val="22"/>
          <w:szCs w:val="22"/>
        </w:rPr>
        <w:t>:</w:t>
      </w:r>
      <w:r w:rsidR="0043399D" w:rsidRPr="00E20483">
        <w:rPr>
          <w:rFonts w:ascii="GibsonLight" w:eastAsia="Arial Unicode MS" w:hAnsi="GibsonLight"/>
          <w:spacing w:val="12"/>
          <w:sz w:val="22"/>
          <w:szCs w:val="22"/>
        </w:rPr>
        <w:t xml:space="preserve"> </w:t>
      </w:r>
      <w:r w:rsidR="0043399D" w:rsidRPr="00E20483">
        <w:rPr>
          <w:rFonts w:ascii="GibsonLight" w:eastAsia="Arial Unicode MS" w:hAnsi="GibsonLight"/>
          <w:color w:val="000000"/>
          <w:spacing w:val="12"/>
          <w:sz w:val="22"/>
          <w:szCs w:val="22"/>
        </w:rPr>
        <w:t>The threshold was valued in any currency other than US dollars.</w:t>
      </w:r>
    </w:p>
    <w:p w14:paraId="1AE9E009" w14:textId="327CA566" w:rsidR="0043399D" w:rsidRPr="00E20483" w:rsidRDefault="0043399D" w:rsidP="004B15D0">
      <w:pPr>
        <w:spacing w:after="120"/>
        <w:ind w:left="720"/>
        <w:rPr>
          <w:rFonts w:ascii="GibsonLight" w:eastAsia="Arial Unicode MS" w:hAnsi="GibsonLight"/>
          <w:color w:val="000000"/>
          <w:spacing w:val="12"/>
          <w:sz w:val="22"/>
          <w:szCs w:val="22"/>
        </w:rPr>
      </w:pPr>
      <w:r w:rsidRPr="00E20483">
        <w:rPr>
          <w:rFonts w:ascii="GibsonLight" w:eastAsia="Arial Unicode MS" w:hAnsi="GibsonLight"/>
          <w:b/>
          <w:color w:val="000000"/>
          <w:spacing w:val="12"/>
          <w:sz w:val="22"/>
          <w:szCs w:val="22"/>
        </w:rPr>
        <w:t>GDP-Based</w:t>
      </w:r>
      <w:r w:rsidR="007174B9" w:rsidRPr="00E20483">
        <w:rPr>
          <w:rFonts w:ascii="GibsonLight" w:eastAsia="Arial Unicode MS" w:hAnsi="GibsonLight"/>
          <w:color w:val="000000"/>
          <w:spacing w:val="12"/>
          <w:sz w:val="22"/>
          <w:szCs w:val="22"/>
        </w:rPr>
        <w:t>:</w:t>
      </w:r>
      <w:r w:rsidRPr="00E20483">
        <w:rPr>
          <w:rFonts w:ascii="GibsonLight" w:eastAsia="Arial Unicode MS" w:hAnsi="GibsonLight"/>
          <w:color w:val="000000"/>
          <w:spacing w:val="12"/>
          <w:sz w:val="22"/>
          <w:szCs w:val="22"/>
        </w:rPr>
        <w:t xml:space="preserve"> The per capita domestic product (GDP) of the study country was used to assess the intervention’s cost-effectiveness.</w:t>
      </w:r>
    </w:p>
    <w:p w14:paraId="314A8A28" w14:textId="77777777" w:rsidR="00E05E33" w:rsidRPr="00E20483" w:rsidRDefault="0043399D" w:rsidP="00E05E33">
      <w:pPr>
        <w:pStyle w:val="ListParagraph"/>
        <w:numPr>
          <w:ilvl w:val="0"/>
          <w:numId w:val="22"/>
        </w:numPr>
        <w:tabs>
          <w:tab w:val="left" w:pos="1800"/>
        </w:tabs>
        <w:ind w:left="1800"/>
        <w:rPr>
          <w:rFonts w:ascii="GibsonLight" w:eastAsia="Arial Unicode MS" w:hAnsi="GibsonLight"/>
          <w:color w:val="000000"/>
          <w:spacing w:val="12"/>
          <w:sz w:val="22"/>
          <w:szCs w:val="22"/>
        </w:rPr>
      </w:pPr>
      <w:r w:rsidRPr="00E20483">
        <w:rPr>
          <w:rFonts w:ascii="GibsonLight" w:eastAsia="Arial Unicode MS" w:hAnsi="GibsonLight"/>
          <w:b/>
          <w:color w:val="000000"/>
          <w:spacing w:val="12"/>
          <w:sz w:val="22"/>
          <w:szCs w:val="22"/>
        </w:rPr>
        <w:t>1-3xGDP</w:t>
      </w:r>
      <w:r w:rsidR="007174B9" w:rsidRPr="00E20483">
        <w:rPr>
          <w:rFonts w:ascii="GibsonLight" w:eastAsia="Arial Unicode MS" w:hAnsi="GibsonLight"/>
          <w:color w:val="000000"/>
          <w:spacing w:val="12"/>
          <w:sz w:val="22"/>
          <w:szCs w:val="22"/>
        </w:rPr>
        <w:t>:</w:t>
      </w:r>
      <w:r w:rsidRPr="00E20483">
        <w:rPr>
          <w:rFonts w:ascii="GibsonLight" w:eastAsia="Arial Unicode MS" w:hAnsi="GibsonLight"/>
          <w:color w:val="000000"/>
          <w:spacing w:val="12"/>
          <w:sz w:val="22"/>
          <w:szCs w:val="22"/>
        </w:rPr>
        <w:t xml:space="preserve"> 1 to 3 times the GDP per capita</w:t>
      </w:r>
    </w:p>
    <w:p w14:paraId="55E2FE41" w14:textId="13A2F67A" w:rsidR="00E05E33" w:rsidRPr="00E20483" w:rsidRDefault="0043399D" w:rsidP="00E05E33">
      <w:pPr>
        <w:pStyle w:val="ListParagraph"/>
        <w:numPr>
          <w:ilvl w:val="0"/>
          <w:numId w:val="22"/>
        </w:numPr>
        <w:tabs>
          <w:tab w:val="left" w:pos="1800"/>
        </w:tabs>
        <w:ind w:left="1800"/>
        <w:rPr>
          <w:rFonts w:ascii="GibsonLight" w:eastAsia="Arial Unicode MS" w:hAnsi="GibsonLight"/>
          <w:color w:val="000000"/>
          <w:spacing w:val="12"/>
          <w:sz w:val="22"/>
          <w:szCs w:val="22"/>
        </w:rPr>
      </w:pPr>
      <w:r w:rsidRPr="00E20483">
        <w:rPr>
          <w:rFonts w:ascii="GibsonLight" w:eastAsia="Arial Unicode MS" w:hAnsi="GibsonLight"/>
          <w:b/>
          <w:color w:val="000000"/>
          <w:spacing w:val="12"/>
          <w:sz w:val="22"/>
          <w:szCs w:val="22"/>
        </w:rPr>
        <w:t>&gt;3xGDP</w:t>
      </w:r>
      <w:r w:rsidR="007174B9" w:rsidRPr="00E20483">
        <w:rPr>
          <w:rFonts w:ascii="GibsonLight" w:eastAsia="Arial Unicode MS" w:hAnsi="GibsonLight"/>
          <w:color w:val="000000"/>
          <w:spacing w:val="12"/>
          <w:sz w:val="22"/>
          <w:szCs w:val="22"/>
        </w:rPr>
        <w:t>:</w:t>
      </w:r>
      <w:r w:rsidRPr="00E20483">
        <w:rPr>
          <w:rFonts w:ascii="GibsonLight" w:eastAsia="Arial Unicode MS" w:hAnsi="GibsonLight"/>
          <w:color w:val="000000"/>
          <w:spacing w:val="12"/>
          <w:sz w:val="22"/>
          <w:szCs w:val="22"/>
        </w:rPr>
        <w:t xml:space="preserve"> Greater than 3 times the GDP per capita</w:t>
      </w:r>
      <w:r w:rsidR="00E05E33" w:rsidRPr="00E20483">
        <w:rPr>
          <w:rFonts w:ascii="GibsonLight" w:eastAsia="Arial Unicode MS" w:hAnsi="GibsonLight"/>
          <w:b/>
          <w:color w:val="000000"/>
          <w:spacing w:val="12"/>
          <w:sz w:val="22"/>
          <w:szCs w:val="22"/>
        </w:rPr>
        <w:t xml:space="preserve"> </w:t>
      </w:r>
    </w:p>
    <w:p w14:paraId="7F3733BF" w14:textId="4C9AF3B2" w:rsidR="0043399D" w:rsidRPr="00E20483" w:rsidRDefault="00E05E33" w:rsidP="00E05E33">
      <w:pPr>
        <w:spacing w:after="120"/>
        <w:ind w:left="720"/>
        <w:rPr>
          <w:rFonts w:ascii="GibsonLight" w:eastAsia="Arial Unicode MS" w:hAnsi="GibsonLight"/>
          <w:b/>
          <w:color w:val="000000"/>
          <w:spacing w:val="12"/>
          <w:sz w:val="22"/>
          <w:szCs w:val="22"/>
        </w:rPr>
      </w:pPr>
      <w:r w:rsidRPr="00E20483">
        <w:rPr>
          <w:rFonts w:ascii="GibsonLight" w:eastAsia="Arial Unicode MS" w:hAnsi="GibsonLight"/>
          <w:b/>
          <w:color w:val="000000"/>
          <w:spacing w:val="12"/>
          <w:sz w:val="22"/>
          <w:szCs w:val="22"/>
        </w:rPr>
        <w:t>Threshold was not reported</w:t>
      </w:r>
      <w:r w:rsidRPr="00E20483">
        <w:rPr>
          <w:rFonts w:ascii="GibsonLight" w:eastAsia="Arial Unicode MS" w:hAnsi="GibsonLight"/>
          <w:color w:val="000000"/>
          <w:spacing w:val="12"/>
          <w:sz w:val="22"/>
          <w:szCs w:val="22"/>
        </w:rPr>
        <w:t>:</w:t>
      </w:r>
      <w:r w:rsidRPr="00E20483">
        <w:rPr>
          <w:rFonts w:ascii="GibsonLight" w:eastAsia="Arial Unicode MS" w:hAnsi="GibsonLight"/>
          <w:b/>
          <w:color w:val="000000"/>
          <w:spacing w:val="12"/>
          <w:sz w:val="22"/>
          <w:szCs w:val="22"/>
        </w:rPr>
        <w:t xml:space="preserve"> </w:t>
      </w:r>
      <w:r w:rsidRPr="00E20483">
        <w:rPr>
          <w:rFonts w:ascii="GibsonLight" w:eastAsia="Arial Unicode MS" w:hAnsi="GibsonLight"/>
          <w:color w:val="000000"/>
          <w:spacing w:val="12"/>
          <w:sz w:val="22"/>
          <w:szCs w:val="22"/>
        </w:rPr>
        <w:t>The study does not provide a threshold in which they compared their results to.</w:t>
      </w:r>
    </w:p>
    <w:p w14:paraId="70719808" w14:textId="1F21FCEA" w:rsidR="00E05E33" w:rsidRPr="00E20483" w:rsidRDefault="0043399D" w:rsidP="00E05E33">
      <w:pPr>
        <w:numPr>
          <w:ilvl w:val="0"/>
          <w:numId w:val="1"/>
        </w:numPr>
        <w:tabs>
          <w:tab w:val="num" w:pos="360"/>
        </w:tabs>
        <w:spacing w:after="120"/>
        <w:ind w:left="360"/>
        <w:jc w:val="both"/>
        <w:rPr>
          <w:rFonts w:ascii="GibsonLight" w:eastAsia="Arial Unicode MS" w:hAnsi="GibsonLight"/>
          <w:b/>
          <w:spacing w:val="12"/>
          <w:sz w:val="22"/>
          <w:szCs w:val="22"/>
        </w:rPr>
      </w:pPr>
      <w:r w:rsidRPr="00E20483">
        <w:rPr>
          <w:rFonts w:ascii="GibsonLight" w:eastAsia="Arial Unicode MS" w:hAnsi="GibsonLight"/>
          <w:b/>
          <w:spacing w:val="12"/>
          <w:sz w:val="22"/>
          <w:szCs w:val="22"/>
        </w:rPr>
        <w:t>Impact Inventory Table</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 xml:space="preserve">An </w:t>
      </w:r>
      <w:r w:rsidRPr="00E20483">
        <w:rPr>
          <w:rFonts w:ascii="GibsonLight" w:eastAsia="Arial Unicode MS" w:hAnsi="GibsonLight"/>
          <w:color w:val="000000"/>
          <w:spacing w:val="12"/>
          <w:sz w:val="22"/>
          <w:szCs w:val="22"/>
        </w:rPr>
        <w:t xml:space="preserve">Impact Inventory is intended to identify and enumerate all of the consequences relating to the choice of intervention or strategy, both within the healthcare sector and in other sectors. </w:t>
      </w:r>
      <w:r w:rsidR="00E05E33" w:rsidRPr="00E20483">
        <w:rPr>
          <w:rFonts w:ascii="GibsonLight" w:eastAsia="Arial Unicode MS" w:hAnsi="GibsonLight"/>
          <w:spacing w:val="12"/>
          <w:sz w:val="22"/>
          <w:szCs w:val="22"/>
        </w:rPr>
        <w:t>The following options are given:</w:t>
      </w:r>
    </w:p>
    <w:p w14:paraId="50E25707" w14:textId="03B08F6B" w:rsidR="00E05E33" w:rsidRPr="00E20483" w:rsidRDefault="00E05E33" w:rsidP="00E05E33">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Yes</w:t>
      </w:r>
      <w:r w:rsidRPr="00E20483">
        <w:rPr>
          <w:rFonts w:ascii="GibsonLight" w:eastAsia="Arial Unicode MS" w:hAnsi="GibsonLight"/>
          <w:spacing w:val="12"/>
          <w:sz w:val="22"/>
          <w:szCs w:val="22"/>
        </w:rPr>
        <w:t xml:space="preserve">: The </w:t>
      </w:r>
      <w:r w:rsidR="00EB3A1F" w:rsidRPr="00E20483">
        <w:rPr>
          <w:rFonts w:ascii="GibsonLight" w:eastAsia="Arial Unicode MS" w:hAnsi="GibsonLight"/>
          <w:spacing w:val="12"/>
          <w:sz w:val="22"/>
          <w:szCs w:val="22"/>
        </w:rPr>
        <w:t>study</w:t>
      </w:r>
      <w:r w:rsidRPr="00E20483">
        <w:rPr>
          <w:rFonts w:ascii="GibsonLight" w:eastAsia="Arial Unicode MS" w:hAnsi="GibsonLight"/>
          <w:spacing w:val="12"/>
          <w:sz w:val="22"/>
          <w:szCs w:val="22"/>
        </w:rPr>
        <w:t xml:space="preserve"> includes an impact inventory table. </w:t>
      </w:r>
    </w:p>
    <w:p w14:paraId="64386CCB" w14:textId="53E818AF" w:rsidR="003B2A98" w:rsidRDefault="00E05E33" w:rsidP="00E05E33">
      <w:pPr>
        <w:spacing w:after="120"/>
        <w:ind w:left="720"/>
        <w:jc w:val="both"/>
        <w:rPr>
          <w:rFonts w:ascii="GibsonLight" w:eastAsia="Arial Unicode MS" w:hAnsi="GibsonLight"/>
          <w:spacing w:val="12"/>
          <w:sz w:val="22"/>
          <w:szCs w:val="22"/>
        </w:rPr>
      </w:pPr>
      <w:r w:rsidRPr="00E20483">
        <w:rPr>
          <w:rFonts w:ascii="GibsonLight" w:eastAsia="Arial Unicode MS" w:hAnsi="GibsonLight"/>
          <w:b/>
          <w:spacing w:val="12"/>
          <w:sz w:val="22"/>
          <w:szCs w:val="22"/>
        </w:rPr>
        <w:t>No</w:t>
      </w:r>
      <w:r w:rsidRPr="00E20483">
        <w:rPr>
          <w:rFonts w:ascii="GibsonLight" w:eastAsia="Arial Unicode MS" w:hAnsi="GibsonLight"/>
          <w:spacing w:val="12"/>
          <w:sz w:val="22"/>
          <w:szCs w:val="22"/>
        </w:rPr>
        <w:t xml:space="preserve">: The </w:t>
      </w:r>
      <w:r w:rsidR="00EB3A1F" w:rsidRPr="00E20483">
        <w:rPr>
          <w:rFonts w:ascii="GibsonLight" w:eastAsia="Arial Unicode MS" w:hAnsi="GibsonLight"/>
          <w:spacing w:val="12"/>
          <w:sz w:val="22"/>
          <w:szCs w:val="22"/>
        </w:rPr>
        <w:t>study</w:t>
      </w:r>
      <w:r w:rsidRPr="00E20483">
        <w:rPr>
          <w:rFonts w:ascii="GibsonLight" w:eastAsia="Arial Unicode MS" w:hAnsi="GibsonLight"/>
          <w:spacing w:val="12"/>
          <w:sz w:val="22"/>
          <w:szCs w:val="22"/>
        </w:rPr>
        <w:t xml:space="preserve"> does not include an impact inventory table.</w:t>
      </w:r>
    </w:p>
    <w:p w14:paraId="553A8AE4" w14:textId="77777777" w:rsidR="00E20483" w:rsidRPr="00E20483" w:rsidRDefault="00E20483" w:rsidP="00E05E33">
      <w:pPr>
        <w:spacing w:after="120"/>
        <w:ind w:left="720"/>
        <w:jc w:val="both"/>
        <w:rPr>
          <w:rFonts w:ascii="GibsonLight" w:eastAsia="Arial Unicode MS" w:hAnsi="GibsonLight"/>
          <w:b/>
          <w:spacing w:val="12"/>
          <w:sz w:val="22"/>
          <w:szCs w:val="22"/>
        </w:rPr>
      </w:pPr>
    </w:p>
    <w:p w14:paraId="6EF623B5" w14:textId="0D070FE8" w:rsidR="0043399D" w:rsidRPr="009278C6" w:rsidRDefault="003B2A98" w:rsidP="004B15D0">
      <w:pPr>
        <w:pStyle w:val="Heading3"/>
        <w:numPr>
          <w:ilvl w:val="0"/>
          <w:numId w:val="0"/>
        </w:numPr>
        <w:spacing w:after="120"/>
        <w:rPr>
          <w:rFonts w:ascii="GibsonLight" w:eastAsia="Arial Unicode MS" w:hAnsi="GibsonLight"/>
          <w:spacing w:val="12"/>
          <w:sz w:val="32"/>
          <w:szCs w:val="24"/>
        </w:rPr>
      </w:pPr>
      <w:bookmarkStart w:id="16" w:name="_Toc100072033"/>
      <w:r w:rsidRPr="009278C6">
        <w:rPr>
          <w:rFonts w:ascii="GibsonLight" w:eastAsia="Arial Unicode MS" w:hAnsi="GibsonLight"/>
          <w:spacing w:val="12"/>
          <w:sz w:val="32"/>
          <w:szCs w:val="24"/>
        </w:rPr>
        <w:t>Parameter Uncertainty</w:t>
      </w:r>
      <w:bookmarkEnd w:id="16"/>
    </w:p>
    <w:p w14:paraId="1493463F" w14:textId="3533079D" w:rsidR="0043399D" w:rsidRPr="00E20483" w:rsidRDefault="0043399D" w:rsidP="004B15D0">
      <w:pPr>
        <w:numPr>
          <w:ilvl w:val="0"/>
          <w:numId w:val="1"/>
        </w:numPr>
        <w:tabs>
          <w:tab w:val="num" w:pos="360"/>
        </w:tabs>
        <w:spacing w:after="120"/>
        <w:ind w:left="360"/>
        <w:rPr>
          <w:rFonts w:ascii="GibsonLight" w:eastAsia="Arial Unicode MS" w:hAnsi="GibsonLight"/>
          <w:b/>
          <w:color w:val="000000"/>
          <w:spacing w:val="12"/>
          <w:sz w:val="22"/>
          <w:szCs w:val="24"/>
        </w:rPr>
      </w:pPr>
      <w:r w:rsidRPr="00E20483">
        <w:rPr>
          <w:rFonts w:ascii="GibsonLight" w:eastAsia="Arial Unicode MS" w:hAnsi="GibsonLight"/>
          <w:b/>
          <w:spacing w:val="12"/>
          <w:sz w:val="22"/>
          <w:szCs w:val="24"/>
        </w:rPr>
        <w:t>Parameter/Uncertainty</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color w:val="000000"/>
          <w:spacing w:val="12"/>
          <w:sz w:val="22"/>
          <w:szCs w:val="24"/>
        </w:rPr>
        <w:t xml:space="preserve">There can be considerable uncertainty regarding the parameters used to measure costs and health effects in a CEA. Different types of sensitivity analyses evaluate the impact of parameter uncertainty on the cost-effectiveness ratio. These analyses can help identify the </w:t>
      </w:r>
      <w:r w:rsidRPr="00E20483">
        <w:rPr>
          <w:rFonts w:ascii="GibsonLight" w:eastAsia="Arial Unicode MS" w:hAnsi="GibsonLight"/>
          <w:color w:val="000000"/>
          <w:spacing w:val="12"/>
          <w:sz w:val="22"/>
          <w:szCs w:val="24"/>
        </w:rPr>
        <w:lastRenderedPageBreak/>
        <w:t>parameters that are most likely to influence the cost-effectiveness results when varied across reasonable ranges. Studies may perform deterministic and/or probabilistic sensitivity analyses</w:t>
      </w:r>
      <w:r w:rsidR="007174B9" w:rsidRPr="00E20483">
        <w:rPr>
          <w:rFonts w:ascii="GibsonLight" w:eastAsia="Arial Unicode MS" w:hAnsi="GibsonLight"/>
          <w:color w:val="000000"/>
          <w:spacing w:val="12"/>
          <w:sz w:val="22"/>
          <w:szCs w:val="24"/>
        </w:rPr>
        <w:t>:</w:t>
      </w:r>
    </w:p>
    <w:p w14:paraId="70FA901D" w14:textId="0F4D2026" w:rsidR="0043399D" w:rsidRPr="00E20483" w:rsidRDefault="0043399D" w:rsidP="004B15D0">
      <w:pPr>
        <w:pStyle w:val="ListParagraph"/>
        <w:spacing w:after="120"/>
        <w:rPr>
          <w:rFonts w:ascii="GibsonLight" w:eastAsia="Arial Unicode MS" w:hAnsi="GibsonLight"/>
          <w:spacing w:val="12"/>
          <w:sz w:val="22"/>
          <w:szCs w:val="24"/>
        </w:rPr>
      </w:pPr>
      <w:r w:rsidRPr="00E20483">
        <w:rPr>
          <w:rFonts w:ascii="GibsonLight" w:eastAsia="Arial Unicode MS" w:hAnsi="GibsonLight"/>
          <w:b/>
          <w:color w:val="000000"/>
          <w:spacing w:val="12"/>
          <w:sz w:val="22"/>
          <w:szCs w:val="24"/>
        </w:rPr>
        <w:t>Deterministic</w:t>
      </w:r>
      <w:r w:rsidR="007174B9" w:rsidRPr="00E20483">
        <w:rPr>
          <w:rFonts w:ascii="GibsonLight" w:eastAsia="Arial Unicode MS" w:hAnsi="GibsonLight"/>
          <w:color w:val="000000"/>
          <w:spacing w:val="12"/>
          <w:sz w:val="22"/>
          <w:szCs w:val="24"/>
        </w:rPr>
        <w:t>:</w:t>
      </w:r>
      <w:r w:rsidRPr="00E20483">
        <w:rPr>
          <w:rFonts w:ascii="GibsonLight" w:eastAsia="Arial Unicode MS" w:hAnsi="GibsonLight"/>
          <w:b/>
          <w:color w:val="000000"/>
          <w:spacing w:val="12"/>
          <w:sz w:val="22"/>
          <w:szCs w:val="24"/>
        </w:rPr>
        <w:t xml:space="preserve"> </w:t>
      </w:r>
      <w:r w:rsidRPr="00E20483">
        <w:rPr>
          <w:rFonts w:ascii="GibsonLight" w:eastAsia="Arial Unicode MS" w:hAnsi="GibsonLight"/>
          <w:spacing w:val="12"/>
          <w:sz w:val="22"/>
          <w:szCs w:val="24"/>
        </w:rPr>
        <w:t>There are two types of deterministic sensitivity analyses</w:t>
      </w:r>
      <w:r w:rsidR="007174B9" w:rsidRPr="00E20483">
        <w:rPr>
          <w:rFonts w:ascii="GibsonLight" w:eastAsia="Arial Unicode MS" w:hAnsi="GibsonLight"/>
          <w:spacing w:val="12"/>
          <w:sz w:val="22"/>
          <w:szCs w:val="24"/>
        </w:rPr>
        <w:t>:</w:t>
      </w:r>
    </w:p>
    <w:p w14:paraId="57778F56" w14:textId="7E7CBDA3" w:rsidR="0043399D" w:rsidRPr="00E20483" w:rsidRDefault="0043399D" w:rsidP="004B15D0">
      <w:pPr>
        <w:pStyle w:val="ListParagraph"/>
        <w:numPr>
          <w:ilvl w:val="0"/>
          <w:numId w:val="8"/>
        </w:numPr>
        <w:spacing w:after="120"/>
        <w:rPr>
          <w:rFonts w:ascii="GibsonLight" w:eastAsia="Arial Unicode MS" w:hAnsi="GibsonLight"/>
          <w:spacing w:val="12"/>
          <w:sz w:val="22"/>
          <w:szCs w:val="24"/>
        </w:rPr>
      </w:pPr>
      <w:r w:rsidRPr="00E20483">
        <w:rPr>
          <w:rFonts w:ascii="GibsonLight" w:eastAsia="Arial Unicode MS" w:hAnsi="GibsonLight"/>
          <w:b/>
          <w:spacing w:val="12"/>
          <w:sz w:val="22"/>
          <w:szCs w:val="24"/>
        </w:rPr>
        <w:t>One-way (univariate)</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refers to varying input parameters </w:t>
      </w:r>
      <w:r w:rsidRPr="00E20483">
        <w:rPr>
          <w:rFonts w:ascii="GibsonLight" w:eastAsia="Arial Unicode MS" w:hAnsi="GibsonLight"/>
          <w:spacing w:val="12"/>
          <w:sz w:val="22"/>
          <w:szCs w:val="24"/>
          <w:u w:val="single"/>
        </w:rPr>
        <w:t>one at a time</w:t>
      </w:r>
      <w:r w:rsidRPr="00E20483">
        <w:rPr>
          <w:rFonts w:ascii="GibsonLight" w:eastAsia="Arial Unicode MS" w:hAnsi="GibsonLight"/>
          <w:spacing w:val="12"/>
          <w:sz w:val="22"/>
          <w:szCs w:val="24"/>
        </w:rPr>
        <w:t>, usually from high to low values relative to their base-case values. ICERs corresponding to these (high/low) ranges are reported, and often displayed with a tornado diagram.</w:t>
      </w:r>
    </w:p>
    <w:p w14:paraId="20C2B82D" w14:textId="7017DBB8" w:rsidR="0043399D" w:rsidRPr="00E20483" w:rsidRDefault="0043399D" w:rsidP="004B15D0">
      <w:pPr>
        <w:pStyle w:val="ListParagraph"/>
        <w:numPr>
          <w:ilvl w:val="0"/>
          <w:numId w:val="8"/>
        </w:numPr>
        <w:spacing w:after="120"/>
        <w:rPr>
          <w:rFonts w:ascii="GibsonLight" w:eastAsia="Arial Unicode MS" w:hAnsi="GibsonLight"/>
          <w:spacing w:val="12"/>
          <w:sz w:val="22"/>
          <w:szCs w:val="24"/>
        </w:rPr>
      </w:pPr>
      <w:r w:rsidRPr="00E20483">
        <w:rPr>
          <w:rFonts w:ascii="GibsonLight" w:eastAsia="Arial Unicode MS" w:hAnsi="GibsonLight"/>
          <w:b/>
          <w:spacing w:val="12"/>
          <w:sz w:val="22"/>
          <w:szCs w:val="24"/>
        </w:rPr>
        <w:t>Multi-way (multivariate)</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refers to varying </w:t>
      </w:r>
      <w:r w:rsidRPr="00E20483">
        <w:rPr>
          <w:rFonts w:ascii="GibsonLight" w:eastAsia="Arial Unicode MS" w:hAnsi="GibsonLight"/>
          <w:spacing w:val="12"/>
          <w:sz w:val="22"/>
          <w:szCs w:val="24"/>
          <w:u w:val="single"/>
        </w:rPr>
        <w:t>more than one parameter at the same time</w:t>
      </w:r>
      <w:r w:rsidRPr="00E20483">
        <w:rPr>
          <w:rFonts w:ascii="GibsonLight" w:eastAsia="Arial Unicode MS" w:hAnsi="GibsonLight"/>
          <w:spacing w:val="12"/>
          <w:sz w:val="22"/>
          <w:szCs w:val="24"/>
        </w:rPr>
        <w:t xml:space="preserve"> and then reporting the range in resulting ICER values.</w:t>
      </w:r>
    </w:p>
    <w:p w14:paraId="69205955" w14:textId="140463F4" w:rsidR="0043399D" w:rsidRPr="00E20483" w:rsidRDefault="0043399D" w:rsidP="004B15D0">
      <w:pPr>
        <w:pStyle w:val="ListParagraph"/>
        <w:spacing w:after="120"/>
        <w:rPr>
          <w:rFonts w:ascii="GibsonLight" w:eastAsia="Arial Unicode MS" w:hAnsi="GibsonLight"/>
          <w:spacing w:val="12"/>
          <w:sz w:val="22"/>
          <w:szCs w:val="24"/>
        </w:rPr>
      </w:pPr>
      <w:r w:rsidRPr="00E20483">
        <w:rPr>
          <w:rFonts w:ascii="GibsonLight" w:eastAsia="Arial Unicode MS" w:hAnsi="GibsonLight"/>
          <w:b/>
          <w:color w:val="000000"/>
          <w:spacing w:val="12"/>
          <w:sz w:val="22"/>
          <w:szCs w:val="24"/>
        </w:rPr>
        <w:t>Probabilistic</w:t>
      </w:r>
      <w:r w:rsidR="007174B9" w:rsidRPr="00E20483">
        <w:rPr>
          <w:rFonts w:ascii="GibsonLight" w:eastAsia="Arial Unicode MS" w:hAnsi="GibsonLight"/>
          <w:color w:val="000000"/>
          <w:spacing w:val="12"/>
          <w:sz w:val="22"/>
          <w:szCs w:val="24"/>
        </w:rPr>
        <w:t>:</w:t>
      </w:r>
      <w:r w:rsidRPr="00E20483">
        <w:rPr>
          <w:rFonts w:ascii="GibsonLight" w:eastAsia="Arial Unicode MS" w:hAnsi="GibsonLight"/>
          <w:b/>
          <w:color w:val="000000"/>
          <w:spacing w:val="12"/>
          <w:sz w:val="22"/>
          <w:szCs w:val="24"/>
        </w:rPr>
        <w:t xml:space="preserve"> </w:t>
      </w:r>
      <w:r w:rsidRPr="00E20483">
        <w:rPr>
          <w:rFonts w:ascii="GibsonLight" w:eastAsia="Arial Unicode MS" w:hAnsi="GibsonLight"/>
          <w:spacing w:val="12"/>
          <w:sz w:val="22"/>
          <w:szCs w:val="24"/>
        </w:rPr>
        <w:t xml:space="preserve">Characterizes uncertainty in ALL parameters simultaneously, explicating reflecting the likelihood that parameters take on particular values. When models are used for the CEA, then this is done by assigning probability distributions around the mean input values. For CEAs conducted along RCTs, bootstrapping methods are commonly used to estimate probabilistic uncertainty. These analyses show the probability that the intervention will be cost-effective at a range of willingness to pay thresholds. </w:t>
      </w:r>
    </w:p>
    <w:p w14:paraId="190FFA8E" w14:textId="20A2BC86" w:rsidR="0043399D" w:rsidRPr="00E20483" w:rsidRDefault="0043399D"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Performed but type not specified</w:t>
      </w:r>
      <w:r w:rsidR="007174B9" w:rsidRPr="00E20483">
        <w:rPr>
          <w:rFonts w:ascii="GibsonLight" w:eastAsia="Arial Unicode MS" w:hAnsi="GibsonLight"/>
          <w:spacing w:val="12"/>
          <w:sz w:val="22"/>
        </w:rPr>
        <w:t>:</w:t>
      </w:r>
      <w:r w:rsidRPr="00E20483">
        <w:rPr>
          <w:rFonts w:ascii="GibsonLight" w:eastAsia="Arial Unicode MS" w:hAnsi="GibsonLight"/>
          <w:b/>
          <w:spacing w:val="12"/>
          <w:sz w:val="22"/>
        </w:rPr>
        <w:t xml:space="preserve"> </w:t>
      </w:r>
      <w:r w:rsidRPr="00E20483">
        <w:rPr>
          <w:rFonts w:ascii="GibsonLight" w:eastAsia="Arial Unicode MS" w:hAnsi="GibsonLight"/>
          <w:spacing w:val="12"/>
          <w:sz w:val="22"/>
        </w:rPr>
        <w:t>Authors mentioned that sensitivity analysis was conducted but did not state the type of analysis</w:t>
      </w:r>
      <w:r w:rsidR="00813578" w:rsidRPr="00E20483">
        <w:rPr>
          <w:rFonts w:ascii="GibsonLight" w:eastAsia="Arial Unicode MS" w:hAnsi="GibsonLight"/>
          <w:spacing w:val="12"/>
          <w:sz w:val="22"/>
        </w:rPr>
        <w:t>.</w:t>
      </w:r>
    </w:p>
    <w:p w14:paraId="150BE9E9" w14:textId="7AC70E22" w:rsidR="0043399D" w:rsidRPr="00E20483" w:rsidRDefault="0043399D"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None/Not stated</w:t>
      </w:r>
      <w:r w:rsidR="007174B9" w:rsidRPr="00E20483">
        <w:rPr>
          <w:rFonts w:ascii="GibsonLight" w:eastAsia="Arial Unicode MS" w:hAnsi="GibsonLight"/>
          <w:spacing w:val="12"/>
          <w:sz w:val="22"/>
        </w:rPr>
        <w:t>:</w:t>
      </w:r>
      <w:r w:rsidRPr="00E20483">
        <w:rPr>
          <w:rFonts w:ascii="GibsonLight" w:eastAsia="Arial Unicode MS" w:hAnsi="GibsonLight"/>
          <w:spacing w:val="12"/>
          <w:sz w:val="22"/>
        </w:rPr>
        <w:t xml:space="preserve"> No information provided; cannot determine if a sensitivity analysis was conducted</w:t>
      </w:r>
      <w:r w:rsidR="00292347" w:rsidRPr="00E20483">
        <w:rPr>
          <w:rFonts w:ascii="GibsonLight" w:eastAsia="Arial Unicode MS" w:hAnsi="GibsonLight"/>
          <w:spacing w:val="12"/>
          <w:sz w:val="22"/>
        </w:rPr>
        <w:t>; authors explicitly stated that they did not conduct sensitivity analyses.</w:t>
      </w:r>
    </w:p>
    <w:p w14:paraId="57E8CC53" w14:textId="57307C30" w:rsidR="00C27DC0" w:rsidRPr="00E20483" w:rsidRDefault="00AD23A5" w:rsidP="004B15D0">
      <w:pPr>
        <w:numPr>
          <w:ilvl w:val="0"/>
          <w:numId w:val="1"/>
        </w:numPr>
        <w:tabs>
          <w:tab w:val="num" w:pos="360"/>
        </w:tabs>
        <w:spacing w:after="120"/>
        <w:ind w:left="360"/>
        <w:rPr>
          <w:rFonts w:ascii="GibsonLight" w:eastAsia="Arial Unicode MS" w:hAnsi="GibsonLight"/>
          <w:b/>
          <w:spacing w:val="12"/>
          <w:sz w:val="22"/>
          <w:szCs w:val="24"/>
        </w:rPr>
      </w:pPr>
      <w:r w:rsidRPr="00E20483">
        <w:rPr>
          <w:rFonts w:ascii="GibsonLight" w:eastAsia="Arial Unicode MS" w:hAnsi="GibsonLight"/>
          <w:b/>
          <w:spacing w:val="12"/>
          <w:sz w:val="22"/>
          <w:szCs w:val="24"/>
        </w:rPr>
        <w:t>Subgroup Analyse</w:t>
      </w:r>
      <w:r w:rsidR="00C27DC0" w:rsidRPr="00E20483">
        <w:rPr>
          <w:rFonts w:ascii="GibsonLight" w:eastAsia="Arial Unicode MS" w:hAnsi="GibsonLight"/>
          <w:b/>
          <w:spacing w:val="12"/>
          <w:sz w:val="22"/>
          <w:szCs w:val="24"/>
        </w:rPr>
        <w:t>s</w:t>
      </w:r>
      <w:r w:rsidRPr="00E20483">
        <w:rPr>
          <w:rFonts w:ascii="GibsonLight" w:eastAsia="Arial Unicode MS" w:hAnsi="GibsonLight"/>
          <w:b/>
          <w:spacing w:val="12"/>
          <w:sz w:val="22"/>
          <w:szCs w:val="24"/>
        </w:rPr>
        <w:t xml:space="preserve"> (Heterogeneity)</w:t>
      </w:r>
      <w:r w:rsidR="007174B9" w:rsidRPr="00E20483">
        <w:rPr>
          <w:rFonts w:ascii="GibsonLight" w:eastAsia="Arial Unicode MS" w:hAnsi="GibsonLight"/>
          <w:spacing w:val="12"/>
          <w:sz w:val="22"/>
          <w:szCs w:val="24"/>
        </w:rPr>
        <w:t>:</w:t>
      </w:r>
      <w:r w:rsidR="00C27DC0" w:rsidRPr="00E20483">
        <w:rPr>
          <w:rFonts w:ascii="GibsonLight" w:eastAsia="Arial Unicode MS" w:hAnsi="GibsonLight"/>
          <w:b/>
          <w:spacing w:val="12"/>
          <w:sz w:val="22"/>
          <w:szCs w:val="24"/>
        </w:rPr>
        <w:t xml:space="preserve"> </w:t>
      </w:r>
      <w:r w:rsidR="00C27DC0" w:rsidRPr="00E20483">
        <w:rPr>
          <w:rFonts w:ascii="GibsonLight" w:eastAsia="Arial Unicode MS" w:hAnsi="GibsonLight"/>
          <w:color w:val="000000"/>
          <w:spacing w:val="12"/>
          <w:sz w:val="22"/>
          <w:szCs w:val="24"/>
        </w:rPr>
        <w:t>Cost-effectiveness results can differ by “subgroups.” Subgroups are created using observable factors to stratify the results of a CEA. These are most commonly characteristics of a target patient population (</w:t>
      </w:r>
      <w:r w:rsidR="004F0578" w:rsidRPr="00E20483">
        <w:rPr>
          <w:rFonts w:ascii="GibsonLight" w:eastAsia="Arial Unicode MS" w:hAnsi="GibsonLight"/>
          <w:color w:val="000000"/>
          <w:spacing w:val="12"/>
          <w:sz w:val="22"/>
          <w:szCs w:val="24"/>
        </w:rPr>
        <w:t>e.g.,</w:t>
      </w:r>
      <w:r w:rsidR="00C27DC0" w:rsidRPr="00E20483">
        <w:rPr>
          <w:rFonts w:ascii="GibsonLight" w:eastAsia="Arial Unicode MS" w:hAnsi="GibsonLight"/>
          <w:color w:val="000000"/>
          <w:spacing w:val="12"/>
          <w:sz w:val="22"/>
          <w:szCs w:val="24"/>
        </w:rPr>
        <w:t xml:space="preserve"> whether patients have co-morbid conditions, treatment or outcome preferences, individual outcome risks, etc.). However, they can also be characteristics of study factors unrelated to the patient’s characteristics (geographical location, type of hospital where treatment is delivered, characteristics of the provider who delivers an intervention.) </w:t>
      </w:r>
    </w:p>
    <w:p w14:paraId="53351C10" w14:textId="77777777" w:rsidR="00C27DC0" w:rsidRPr="00E20483" w:rsidRDefault="00C27DC0" w:rsidP="004B15D0">
      <w:pPr>
        <w:pStyle w:val="ListParagraph"/>
        <w:numPr>
          <w:ilvl w:val="1"/>
          <w:numId w:val="5"/>
        </w:numPr>
        <w:spacing w:after="120"/>
        <w:ind w:left="720"/>
        <w:rPr>
          <w:rFonts w:ascii="GibsonLight" w:eastAsia="Arial Unicode MS" w:hAnsi="GibsonLight"/>
          <w:b/>
          <w:spacing w:val="12"/>
          <w:sz w:val="22"/>
          <w:szCs w:val="24"/>
        </w:rPr>
      </w:pPr>
      <w:r w:rsidRPr="00E20483">
        <w:rPr>
          <w:rFonts w:ascii="GibsonLight" w:eastAsia="Arial Unicode MS" w:hAnsi="GibsonLight"/>
          <w:b/>
          <w:spacing w:val="12"/>
          <w:sz w:val="22"/>
          <w:szCs w:val="24"/>
        </w:rPr>
        <w:t>Was subgroup analysis based on observable clinical or socio-demographic characteristics?</w:t>
      </w:r>
    </w:p>
    <w:p w14:paraId="37828248" w14:textId="7D63A293" w:rsidR="00C27DC0" w:rsidRPr="00E20483" w:rsidRDefault="00654F3F" w:rsidP="004B15D0">
      <w:pPr>
        <w:pStyle w:val="ListParagraph"/>
        <w:numPr>
          <w:ilvl w:val="0"/>
          <w:numId w:val="28"/>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Yes</w:t>
      </w:r>
      <w:r w:rsidRPr="00E20483">
        <w:rPr>
          <w:rFonts w:ascii="GibsonLight" w:eastAsia="Arial Unicode MS" w:hAnsi="GibsonLight"/>
          <w:spacing w:val="12"/>
          <w:sz w:val="22"/>
          <w:szCs w:val="24"/>
        </w:rPr>
        <w:t xml:space="preserve">: </w:t>
      </w:r>
      <w:r w:rsidR="00C27DC0" w:rsidRPr="00E20483">
        <w:rPr>
          <w:rFonts w:ascii="GibsonLight" w:eastAsia="Arial Unicode MS" w:hAnsi="GibsonLight"/>
          <w:spacing w:val="12"/>
          <w:sz w:val="22"/>
          <w:szCs w:val="24"/>
        </w:rPr>
        <w:t>Examples</w:t>
      </w:r>
      <w:r w:rsidRPr="00E20483">
        <w:rPr>
          <w:rFonts w:ascii="GibsonLight" w:eastAsia="Arial Unicode MS" w:hAnsi="GibsonLight"/>
          <w:spacing w:val="12"/>
          <w:sz w:val="22"/>
          <w:szCs w:val="24"/>
        </w:rPr>
        <w:t xml:space="preserve"> include a</w:t>
      </w:r>
      <w:r w:rsidR="00C27DC0" w:rsidRPr="00E20483">
        <w:rPr>
          <w:rFonts w:ascii="GibsonLight" w:eastAsia="Arial Unicode MS" w:hAnsi="GibsonLight"/>
          <w:spacing w:val="12"/>
          <w:sz w:val="22"/>
          <w:szCs w:val="24"/>
        </w:rPr>
        <w:t>ge, gender, race, severity of disease, etc.</w:t>
      </w:r>
    </w:p>
    <w:p w14:paraId="5EB30352" w14:textId="72C246F9" w:rsidR="0043399D" w:rsidRPr="00E20483" w:rsidRDefault="00654F3F" w:rsidP="004B15D0">
      <w:pPr>
        <w:pStyle w:val="ListParagraph"/>
        <w:numPr>
          <w:ilvl w:val="0"/>
          <w:numId w:val="28"/>
        </w:numPr>
        <w:spacing w:after="120"/>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No</w:t>
      </w:r>
      <w:r w:rsidRPr="00E20483">
        <w:rPr>
          <w:rFonts w:ascii="GibsonLight" w:eastAsia="Arial Unicode MS" w:hAnsi="GibsonLight"/>
          <w:spacing w:val="12"/>
          <w:sz w:val="22"/>
          <w:szCs w:val="24"/>
        </w:rPr>
        <w:t>: Intervention or setting specific characteristics are</w:t>
      </w:r>
      <w:r w:rsidR="00C27DC0" w:rsidRPr="00E20483">
        <w:rPr>
          <w:rFonts w:ascii="GibsonLight" w:eastAsia="Arial Unicode MS" w:hAnsi="GibsonLight"/>
          <w:spacing w:val="12"/>
          <w:sz w:val="22"/>
          <w:szCs w:val="24"/>
        </w:rPr>
        <w:t xml:space="preserve"> </w:t>
      </w:r>
      <w:r w:rsidR="00C27DC0" w:rsidRPr="00E20483">
        <w:rPr>
          <w:rFonts w:ascii="GibsonLight" w:eastAsia="Arial Unicode MS" w:hAnsi="GibsonLight"/>
          <w:b/>
          <w:i/>
          <w:spacing w:val="12"/>
          <w:sz w:val="22"/>
          <w:szCs w:val="24"/>
        </w:rPr>
        <w:t>not</w:t>
      </w:r>
      <w:r w:rsidR="00C27DC0" w:rsidRPr="00E20483">
        <w:rPr>
          <w:rFonts w:ascii="GibsonLight" w:eastAsia="Arial Unicode MS" w:hAnsi="GibsonLight"/>
          <w:spacing w:val="12"/>
          <w:sz w:val="22"/>
          <w:szCs w:val="24"/>
        </w:rPr>
        <w:t xml:space="preserve"> considered to be clinical or so</w:t>
      </w:r>
      <w:r w:rsidRPr="00E20483">
        <w:rPr>
          <w:rFonts w:ascii="GibsonLight" w:eastAsia="Arial Unicode MS" w:hAnsi="GibsonLight"/>
          <w:spacing w:val="12"/>
          <w:sz w:val="22"/>
          <w:szCs w:val="24"/>
        </w:rPr>
        <w:t>cio-demographic characteristics. Examples include</w:t>
      </w:r>
      <w:r w:rsidR="00C27DC0" w:rsidRPr="00E20483">
        <w:rPr>
          <w:rFonts w:ascii="GibsonLight" w:eastAsia="Arial Unicode MS" w:hAnsi="GibsonLight"/>
          <w:spacing w:val="12"/>
          <w:sz w:val="22"/>
          <w:szCs w:val="24"/>
        </w:rPr>
        <w:t xml:space="preserve"> country, urban/rural hospital, </w:t>
      </w:r>
      <w:r w:rsidR="00DA1E77" w:rsidRPr="00E20483">
        <w:rPr>
          <w:rFonts w:ascii="GibsonLight" w:eastAsia="Arial Unicode MS" w:hAnsi="GibsonLight"/>
          <w:spacing w:val="12"/>
          <w:sz w:val="22"/>
          <w:szCs w:val="24"/>
        </w:rPr>
        <w:t>and surgeon</w:t>
      </w:r>
      <w:r w:rsidR="00C27DC0" w:rsidRPr="00E20483">
        <w:rPr>
          <w:rFonts w:ascii="GibsonLight" w:eastAsia="Arial Unicode MS" w:hAnsi="GibsonLight"/>
          <w:spacing w:val="12"/>
          <w:sz w:val="22"/>
          <w:szCs w:val="24"/>
        </w:rPr>
        <w:t xml:space="preserve"> with greater than or less than 10 years of experience</w:t>
      </w:r>
      <w:r w:rsidRPr="00E20483">
        <w:rPr>
          <w:rFonts w:ascii="GibsonLight" w:eastAsia="Arial Unicode MS" w:hAnsi="GibsonLight"/>
          <w:spacing w:val="12"/>
          <w:sz w:val="22"/>
          <w:szCs w:val="24"/>
        </w:rPr>
        <w:t>.</w:t>
      </w:r>
    </w:p>
    <w:p w14:paraId="33AA61F0" w14:textId="431A33C6" w:rsidR="000A23CB" w:rsidRPr="00E20483" w:rsidRDefault="000A23CB" w:rsidP="004B15D0">
      <w:pPr>
        <w:numPr>
          <w:ilvl w:val="0"/>
          <w:numId w:val="1"/>
        </w:numPr>
        <w:tabs>
          <w:tab w:val="num" w:pos="360"/>
        </w:tabs>
        <w:spacing w:after="120"/>
        <w:ind w:left="360"/>
        <w:rPr>
          <w:rFonts w:ascii="GibsonLight" w:eastAsia="Arial Unicode MS" w:hAnsi="GibsonLight"/>
          <w:b/>
          <w:spacing w:val="12"/>
          <w:sz w:val="22"/>
          <w:szCs w:val="24"/>
        </w:rPr>
      </w:pPr>
      <w:r w:rsidRPr="00E20483">
        <w:rPr>
          <w:rFonts w:ascii="GibsonLight" w:eastAsia="Arial Unicode MS" w:hAnsi="GibsonLight"/>
          <w:b/>
          <w:spacing w:val="12"/>
          <w:sz w:val="22"/>
          <w:szCs w:val="24"/>
        </w:rPr>
        <w:t>Graphical Representation of Uncertainty</w:t>
      </w:r>
      <w:r w:rsidR="007174B9" w:rsidRPr="00E20483">
        <w:rPr>
          <w:rFonts w:ascii="GibsonLight" w:eastAsia="Arial Unicode MS" w:hAnsi="GibsonLight"/>
          <w:spacing w:val="12"/>
          <w:sz w:val="22"/>
          <w:szCs w:val="24"/>
        </w:rPr>
        <w:t>:</w:t>
      </w:r>
      <w:r w:rsidR="00813578" w:rsidRPr="00E20483">
        <w:rPr>
          <w:rFonts w:ascii="GibsonLight" w:eastAsia="Arial Unicode MS" w:hAnsi="GibsonLight"/>
          <w:b/>
          <w:spacing w:val="12"/>
          <w:sz w:val="22"/>
          <w:szCs w:val="24"/>
        </w:rPr>
        <w:t xml:space="preserve"> </w:t>
      </w:r>
      <w:r w:rsidR="00E05E33" w:rsidRPr="00E20483">
        <w:rPr>
          <w:rFonts w:ascii="GibsonLight" w:eastAsia="Arial Unicode MS" w:hAnsi="GibsonLight"/>
          <w:spacing w:val="12"/>
          <w:sz w:val="22"/>
          <w:szCs w:val="24"/>
        </w:rPr>
        <w:t>G</w:t>
      </w:r>
      <w:r w:rsidR="00813578" w:rsidRPr="00E20483">
        <w:rPr>
          <w:rFonts w:ascii="GibsonLight" w:eastAsia="Arial Unicode MS" w:hAnsi="GibsonLight"/>
          <w:spacing w:val="12"/>
          <w:sz w:val="22"/>
          <w:szCs w:val="24"/>
        </w:rPr>
        <w:t>raphs related to the sensitivity analyses that were provided in either the main article or any supplementary materials.</w:t>
      </w:r>
    </w:p>
    <w:p w14:paraId="386F422D" w14:textId="1EF464E7" w:rsidR="00B157D5" w:rsidRPr="00E20483" w:rsidRDefault="00292347" w:rsidP="004B15D0">
      <w:pPr>
        <w:tabs>
          <w:tab w:val="left" w:pos="630"/>
        </w:tabs>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Tornado d</w:t>
      </w:r>
      <w:r w:rsidR="00C27DC0" w:rsidRPr="00E20483">
        <w:rPr>
          <w:rFonts w:ascii="GibsonLight" w:eastAsia="Arial Unicode MS" w:hAnsi="GibsonLight"/>
          <w:b/>
          <w:spacing w:val="12"/>
          <w:sz w:val="22"/>
          <w:szCs w:val="24"/>
        </w:rPr>
        <w:t>iagram</w:t>
      </w:r>
      <w:r w:rsidR="007174B9" w:rsidRPr="00E20483">
        <w:rPr>
          <w:rFonts w:ascii="GibsonLight" w:eastAsia="Arial Unicode MS" w:hAnsi="GibsonLight"/>
          <w:spacing w:val="12"/>
          <w:sz w:val="22"/>
          <w:szCs w:val="24"/>
        </w:rPr>
        <w:t>:</w:t>
      </w:r>
      <w:r w:rsidR="00C27DC0" w:rsidRPr="00E20483">
        <w:rPr>
          <w:rFonts w:ascii="GibsonLight" w:eastAsia="Arial Unicode MS" w:hAnsi="GibsonLight"/>
          <w:spacing w:val="12"/>
          <w:sz w:val="22"/>
          <w:szCs w:val="24"/>
        </w:rPr>
        <w:t xml:space="preserve"> A sensitivity analysis that provides a graphical representation of the degree to which the </w:t>
      </w:r>
      <w:r w:rsidR="00675E4F" w:rsidRPr="00E20483">
        <w:rPr>
          <w:rFonts w:ascii="GibsonLight" w:eastAsia="Arial Unicode MS" w:hAnsi="GibsonLight"/>
          <w:spacing w:val="12"/>
          <w:sz w:val="22"/>
          <w:szCs w:val="24"/>
        </w:rPr>
        <w:t>r</w:t>
      </w:r>
      <w:r w:rsidR="00C27DC0" w:rsidRPr="00E20483">
        <w:rPr>
          <w:rFonts w:ascii="GibsonLight" w:eastAsia="Arial Unicode MS" w:hAnsi="GibsonLight"/>
          <w:spacing w:val="12"/>
          <w:sz w:val="22"/>
          <w:szCs w:val="24"/>
        </w:rPr>
        <w:t xml:space="preserve">esult is sensitive to the specified </w:t>
      </w:r>
      <w:r w:rsidR="00675E4F" w:rsidRPr="00E20483">
        <w:rPr>
          <w:rFonts w:ascii="GibsonLight" w:eastAsia="Arial Unicode MS" w:hAnsi="GibsonLight"/>
          <w:spacing w:val="12"/>
          <w:sz w:val="22"/>
          <w:szCs w:val="24"/>
        </w:rPr>
        <w:t>i</w:t>
      </w:r>
      <w:r w:rsidR="00C27DC0" w:rsidRPr="00E20483">
        <w:rPr>
          <w:rFonts w:ascii="GibsonLight" w:eastAsia="Arial Unicode MS" w:hAnsi="GibsonLight"/>
          <w:spacing w:val="12"/>
          <w:sz w:val="22"/>
          <w:szCs w:val="24"/>
        </w:rPr>
        <w:t xml:space="preserve">ndependent </w:t>
      </w:r>
      <w:r w:rsidR="00675E4F" w:rsidRPr="00E20483">
        <w:rPr>
          <w:rFonts w:ascii="GibsonLight" w:eastAsia="Arial Unicode MS" w:hAnsi="GibsonLight"/>
          <w:spacing w:val="12"/>
          <w:sz w:val="22"/>
          <w:szCs w:val="24"/>
        </w:rPr>
        <w:t>v</w:t>
      </w:r>
      <w:r w:rsidR="00C27DC0" w:rsidRPr="00E20483">
        <w:rPr>
          <w:rFonts w:ascii="GibsonLight" w:eastAsia="Arial Unicode MS" w:hAnsi="GibsonLight"/>
          <w:spacing w:val="12"/>
          <w:sz w:val="22"/>
          <w:szCs w:val="24"/>
        </w:rPr>
        <w:t>ariables.</w:t>
      </w:r>
    </w:p>
    <w:p w14:paraId="15D2520C" w14:textId="20CFAFE3" w:rsidR="00C27DC0" w:rsidRPr="00E20483" w:rsidRDefault="00C27DC0" w:rsidP="004B15D0">
      <w:pPr>
        <w:tabs>
          <w:tab w:val="left" w:pos="630"/>
        </w:tabs>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Cost-Effectiveness plane</w:t>
      </w:r>
      <w:r w:rsidR="00292347" w:rsidRPr="00E20483">
        <w:rPr>
          <w:rFonts w:ascii="GibsonLight" w:eastAsia="Arial Unicode MS" w:hAnsi="GibsonLight"/>
          <w:b/>
          <w:spacing w:val="12"/>
          <w:sz w:val="22"/>
          <w:szCs w:val="24"/>
        </w:rPr>
        <w:t>/scatterplot</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A sensitivity analysis that consists of a scatter plot of simulated ICERs on the CEA plane to illustrate uncertainty by mapping out the location and spread of the points around the expected results.</w:t>
      </w:r>
    </w:p>
    <w:p w14:paraId="289172ED" w14:textId="772A072E" w:rsidR="00C27DC0" w:rsidRPr="00E20483" w:rsidRDefault="00C27DC0" w:rsidP="004B15D0">
      <w:pPr>
        <w:tabs>
          <w:tab w:val="left" w:pos="630"/>
        </w:tabs>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 xml:space="preserve">Cost-Effectiveness </w:t>
      </w:r>
      <w:r w:rsidR="00292347" w:rsidRPr="00E20483">
        <w:rPr>
          <w:rFonts w:ascii="GibsonLight" w:eastAsia="Arial Unicode MS" w:hAnsi="GibsonLight"/>
          <w:b/>
          <w:spacing w:val="12"/>
          <w:sz w:val="22"/>
          <w:szCs w:val="24"/>
        </w:rPr>
        <w:t>acceptability c</w:t>
      </w:r>
      <w:r w:rsidRPr="00E20483">
        <w:rPr>
          <w:rFonts w:ascii="GibsonLight" w:eastAsia="Arial Unicode MS" w:hAnsi="GibsonLight"/>
          <w:b/>
          <w:spacing w:val="12"/>
          <w:sz w:val="22"/>
          <w:szCs w:val="24"/>
        </w:rPr>
        <w:t>urve</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The cost-effectiveness acceptability curve (CEAC) is a method for summarizing the uncertainty in estimates of cost-effectiveness. The CEAC, derived from the joint distribution of costs and effects, illustrates the (Bayesian) probability that the data are consistent with a true cost-effectiveness ratio falling below a specified ceiling ratio.</w:t>
      </w:r>
      <w:r w:rsidR="00B157D5" w:rsidRPr="00E20483">
        <w:rPr>
          <w:rFonts w:ascii="GibsonLight" w:eastAsia="Arial Unicode MS" w:hAnsi="GibsonLight"/>
          <w:spacing w:val="12"/>
          <w:sz w:val="22"/>
          <w:szCs w:val="24"/>
        </w:rPr>
        <w:t xml:space="preserve"> </w:t>
      </w:r>
    </w:p>
    <w:p w14:paraId="291DE614" w14:textId="6E5CA14C" w:rsidR="00D1471B" w:rsidRPr="004F0578" w:rsidRDefault="00D1471B" w:rsidP="009278C6">
      <w:pPr>
        <w:rPr>
          <w:rFonts w:eastAsia="Arial Unicode MS"/>
        </w:rPr>
      </w:pPr>
    </w:p>
    <w:p w14:paraId="5C546093" w14:textId="1A91DE14" w:rsidR="00AD23A5" w:rsidRPr="009278C6" w:rsidRDefault="003B2A98" w:rsidP="004B15D0">
      <w:pPr>
        <w:pStyle w:val="Heading3"/>
        <w:numPr>
          <w:ilvl w:val="0"/>
          <w:numId w:val="0"/>
        </w:numPr>
        <w:spacing w:after="120"/>
        <w:rPr>
          <w:rFonts w:ascii="GibsonLight" w:eastAsia="Arial Unicode MS" w:hAnsi="GibsonLight"/>
          <w:spacing w:val="12"/>
          <w:sz w:val="32"/>
          <w:szCs w:val="24"/>
        </w:rPr>
      </w:pPr>
      <w:bookmarkStart w:id="17" w:name="_Toc100072034"/>
      <w:r w:rsidRPr="009278C6">
        <w:rPr>
          <w:rFonts w:ascii="GibsonLight" w:eastAsia="Arial Unicode MS" w:hAnsi="GibsonLight"/>
          <w:spacing w:val="12"/>
          <w:sz w:val="32"/>
          <w:szCs w:val="24"/>
        </w:rPr>
        <w:lastRenderedPageBreak/>
        <w:t>Disease Classification</w:t>
      </w:r>
      <w:bookmarkEnd w:id="17"/>
    </w:p>
    <w:p w14:paraId="46D95819" w14:textId="48DF9515" w:rsidR="00220D1C" w:rsidRPr="00E20483" w:rsidRDefault="00220D1C" w:rsidP="004B15D0">
      <w:pPr>
        <w:tabs>
          <w:tab w:val="left" w:pos="630"/>
        </w:tabs>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The disease was not specified</w:t>
      </w:r>
      <w:r w:rsidR="00675E4F" w:rsidRPr="00E20483">
        <w:rPr>
          <w:rFonts w:ascii="GibsonLight" w:eastAsia="Arial Unicode MS" w:hAnsi="GibsonLight"/>
          <w:spacing w:val="12"/>
          <w:sz w:val="22"/>
          <w:szCs w:val="22"/>
        </w:rPr>
        <w:t>: This generally indicates that the target population(s) are healthy individuals and the primary intervention(s) do not target a specific disease (e.g. policies to enact network of bike lanes).</w:t>
      </w:r>
    </w:p>
    <w:p w14:paraId="18651CC4" w14:textId="7E5EC9D1" w:rsidR="00220D1C" w:rsidRPr="00E20483" w:rsidRDefault="00220D1C" w:rsidP="004B15D0">
      <w:pPr>
        <w:tabs>
          <w:tab w:val="left" w:pos="630"/>
        </w:tabs>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Primary Disease</w:t>
      </w:r>
      <w:r w:rsidR="007174B9" w:rsidRPr="00E20483">
        <w:rPr>
          <w:rFonts w:ascii="GibsonLight" w:eastAsia="Arial Unicode MS" w:hAnsi="GibsonLight"/>
          <w:spacing w:val="12"/>
          <w:sz w:val="22"/>
          <w:szCs w:val="22"/>
        </w:rPr>
        <w:t>:</w:t>
      </w:r>
      <w:r w:rsidR="00675E4F" w:rsidRPr="00E20483">
        <w:rPr>
          <w:rFonts w:ascii="GibsonLight" w:eastAsia="Arial Unicode MS" w:hAnsi="GibsonLight"/>
          <w:spacing w:val="12"/>
          <w:sz w:val="22"/>
          <w:szCs w:val="22"/>
        </w:rPr>
        <w:t xml:space="preserve"> The primary disease </w:t>
      </w:r>
      <w:r w:rsidR="00B40CDD" w:rsidRPr="00E20483">
        <w:rPr>
          <w:rFonts w:ascii="GibsonLight" w:eastAsia="Arial Unicode MS" w:hAnsi="GibsonLight"/>
          <w:spacing w:val="12"/>
          <w:sz w:val="22"/>
          <w:szCs w:val="22"/>
        </w:rPr>
        <w:t xml:space="preserve">or condition </w:t>
      </w:r>
      <w:r w:rsidR="00675E4F" w:rsidRPr="00E20483">
        <w:rPr>
          <w:rFonts w:ascii="GibsonLight" w:eastAsia="Arial Unicode MS" w:hAnsi="GibsonLight"/>
          <w:spacing w:val="12"/>
          <w:sz w:val="22"/>
          <w:szCs w:val="22"/>
        </w:rPr>
        <w:t>the intervention is targeting.</w:t>
      </w:r>
    </w:p>
    <w:p w14:paraId="4FFC28BC" w14:textId="4020FB7C" w:rsidR="00220D1C" w:rsidRPr="00E20483" w:rsidRDefault="00220D1C" w:rsidP="004B15D0">
      <w:pPr>
        <w:pStyle w:val="ListParagraph"/>
        <w:numPr>
          <w:ilvl w:val="0"/>
          <w:numId w:val="29"/>
        </w:numPr>
        <w:tabs>
          <w:tab w:val="left" w:pos="630"/>
        </w:tabs>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ICD Chapter and Sub-Chapter</w:t>
      </w:r>
    </w:p>
    <w:p w14:paraId="1BD1A5A9" w14:textId="449FE82E" w:rsidR="00220D1C" w:rsidRPr="00E20483" w:rsidRDefault="00220D1C" w:rsidP="004B15D0">
      <w:pPr>
        <w:pStyle w:val="ListParagraph"/>
        <w:numPr>
          <w:ilvl w:val="0"/>
          <w:numId w:val="29"/>
        </w:numPr>
        <w:tabs>
          <w:tab w:val="left" w:pos="630"/>
        </w:tabs>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GBD Tiers</w:t>
      </w:r>
    </w:p>
    <w:p w14:paraId="764BD3E5" w14:textId="4F4E54E2" w:rsidR="00220D1C" w:rsidRPr="00E20483" w:rsidRDefault="00220D1C" w:rsidP="004B15D0">
      <w:pPr>
        <w:pStyle w:val="ListParagraph"/>
        <w:numPr>
          <w:ilvl w:val="0"/>
          <w:numId w:val="29"/>
        </w:numPr>
        <w:tabs>
          <w:tab w:val="left" w:pos="630"/>
        </w:tabs>
        <w:spacing w:after="120"/>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Disease Description</w:t>
      </w:r>
      <w:r w:rsidR="007174B9" w:rsidRPr="00E20483">
        <w:rPr>
          <w:rFonts w:ascii="GibsonLight" w:eastAsia="Arial Unicode MS" w:hAnsi="GibsonLight"/>
          <w:spacing w:val="12"/>
          <w:sz w:val="22"/>
          <w:szCs w:val="22"/>
        </w:rPr>
        <w:t>:</w:t>
      </w:r>
      <w:r w:rsidR="00034CF6" w:rsidRPr="00E20483">
        <w:rPr>
          <w:rFonts w:ascii="GibsonLight" w:eastAsia="Arial Unicode MS" w:hAnsi="GibsonLight"/>
          <w:spacing w:val="12"/>
          <w:sz w:val="22"/>
          <w:szCs w:val="22"/>
        </w:rPr>
        <w:t xml:space="preserve"> C</w:t>
      </w:r>
      <w:r w:rsidR="00146366" w:rsidRPr="00E20483">
        <w:rPr>
          <w:rFonts w:ascii="GibsonLight" w:eastAsia="Arial Unicode MS" w:hAnsi="GibsonLight"/>
          <w:spacing w:val="12"/>
          <w:sz w:val="22"/>
          <w:szCs w:val="22"/>
        </w:rPr>
        <w:t>oncise disease name.</w:t>
      </w:r>
    </w:p>
    <w:p w14:paraId="0D1C5039" w14:textId="531D8576" w:rsidR="00267E30" w:rsidRPr="00E20483" w:rsidRDefault="00220D1C" w:rsidP="004B15D0">
      <w:pPr>
        <w:tabs>
          <w:tab w:val="left" w:pos="630"/>
        </w:tabs>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Secondary Disease(s)</w:t>
      </w:r>
      <w:r w:rsidR="007174B9" w:rsidRPr="00E20483">
        <w:rPr>
          <w:rFonts w:ascii="GibsonLight" w:eastAsia="Arial Unicode MS" w:hAnsi="GibsonLight"/>
          <w:spacing w:val="12"/>
          <w:sz w:val="22"/>
          <w:szCs w:val="22"/>
        </w:rPr>
        <w:t>:</w:t>
      </w:r>
      <w:r w:rsidR="00B40CDD" w:rsidRPr="00E20483">
        <w:rPr>
          <w:rFonts w:ascii="GibsonLight" w:eastAsia="Arial Unicode MS" w:hAnsi="GibsonLight"/>
          <w:spacing w:val="12"/>
          <w:sz w:val="22"/>
          <w:szCs w:val="22"/>
        </w:rPr>
        <w:t xml:space="preserve"> Other diseases or conditions the primary intervention is targeting. This also includes diseases or conditions the target population has been diagnosed with if it differs from the intervention's targeted disease.</w:t>
      </w:r>
    </w:p>
    <w:p w14:paraId="4DEB933D" w14:textId="77777777" w:rsidR="000C0AA9" w:rsidRPr="004F0578" w:rsidRDefault="000C0AA9" w:rsidP="004B15D0">
      <w:pPr>
        <w:tabs>
          <w:tab w:val="left" w:pos="630"/>
        </w:tabs>
        <w:spacing w:after="120"/>
        <w:ind w:left="720"/>
        <w:rPr>
          <w:rFonts w:ascii="GibsonLight" w:eastAsia="Arial Unicode MS" w:hAnsi="GibsonLight"/>
          <w:b/>
          <w:spacing w:val="12"/>
          <w:sz w:val="22"/>
          <w:szCs w:val="22"/>
        </w:rPr>
      </w:pPr>
    </w:p>
    <w:p w14:paraId="316AD441" w14:textId="2195002C" w:rsidR="00FD6609" w:rsidRPr="009278C6" w:rsidRDefault="00FD6609" w:rsidP="004B15D0">
      <w:pPr>
        <w:pStyle w:val="Heading3"/>
        <w:numPr>
          <w:ilvl w:val="0"/>
          <w:numId w:val="0"/>
        </w:numPr>
        <w:spacing w:after="120"/>
        <w:rPr>
          <w:rFonts w:ascii="GibsonLight" w:eastAsia="Arial Unicode MS" w:hAnsi="GibsonLight"/>
          <w:spacing w:val="12"/>
          <w:sz w:val="32"/>
          <w:szCs w:val="24"/>
        </w:rPr>
      </w:pPr>
      <w:bookmarkStart w:id="18" w:name="_Toc100072035"/>
      <w:r w:rsidRPr="009278C6">
        <w:rPr>
          <w:rFonts w:ascii="GibsonLight" w:eastAsia="Arial Unicode MS" w:hAnsi="GibsonLight"/>
          <w:spacing w:val="12"/>
          <w:sz w:val="32"/>
          <w:szCs w:val="24"/>
        </w:rPr>
        <w:t>Equity &amp; Ethical Considerations</w:t>
      </w:r>
      <w:bookmarkEnd w:id="18"/>
    </w:p>
    <w:p w14:paraId="4FDEBAF9" w14:textId="77777777" w:rsidR="00671A81" w:rsidRPr="00671A81" w:rsidRDefault="00671A81" w:rsidP="00671A81">
      <w:pPr>
        <w:spacing w:after="120"/>
        <w:rPr>
          <w:rFonts w:ascii="GibsonLight" w:eastAsia="Arial Unicode MS" w:hAnsi="GibsonLight"/>
          <w:color w:val="000000"/>
          <w:spacing w:val="12"/>
          <w:sz w:val="22"/>
          <w:szCs w:val="22"/>
          <w:shd w:val="clear" w:color="auto" w:fill="FFFFFF"/>
        </w:rPr>
      </w:pPr>
      <w:r w:rsidRPr="00671A81">
        <w:rPr>
          <w:rFonts w:ascii="GibsonLight" w:eastAsia="Arial Unicode MS" w:hAnsi="GibsonLight"/>
          <w:color w:val="000000"/>
          <w:spacing w:val="12"/>
          <w:sz w:val="22"/>
          <w:szCs w:val="22"/>
          <w:shd w:val="clear" w:color="auto" w:fill="FFFFFF"/>
        </w:rPr>
        <w:t xml:space="preserve">Health equity includes removing obstacles to good health such as poverty, discrimination, environment, access to housing/transportation, etc. Traditional CEAs are generally focused on maximizing population health benefits. However, when designing and prioritizing interventions, decision makers are often concerned about reducing unfair health inequality, improving total population health, and or the nature and size of any tradeoffs between the two. </w:t>
      </w:r>
    </w:p>
    <w:p w14:paraId="6BFCF42B" w14:textId="2EB7B82D" w:rsidR="00671A81" w:rsidRPr="00E20483" w:rsidRDefault="00671A81" w:rsidP="00671A81">
      <w:pPr>
        <w:spacing w:after="120"/>
        <w:rPr>
          <w:rFonts w:ascii="GibsonLight" w:eastAsia="Arial Unicode MS" w:hAnsi="GibsonLight"/>
          <w:color w:val="000000"/>
          <w:spacing w:val="12"/>
          <w:sz w:val="22"/>
          <w:szCs w:val="22"/>
          <w:shd w:val="clear" w:color="auto" w:fill="FFFFFF"/>
        </w:rPr>
      </w:pPr>
      <w:r w:rsidRPr="00671A81">
        <w:rPr>
          <w:rFonts w:ascii="GibsonLight" w:eastAsia="Arial Unicode MS" w:hAnsi="GibsonLight"/>
          <w:color w:val="000000"/>
          <w:spacing w:val="12"/>
          <w:sz w:val="22"/>
          <w:szCs w:val="22"/>
          <w:shd w:val="clear" w:color="auto" w:fill="FFFFFF"/>
        </w:rPr>
        <w:t>Note: A retrospective study was completed in 2022 to identify articles published from 2016-2020 that included a novel element of value. The study used article text searches to find words/phrases that indicated the use of a novel element and was confirmed by an individual review (find more here). This data was added to the registry in 2022. See descriptions below for more details.</w:t>
      </w:r>
    </w:p>
    <w:p w14:paraId="06F098A1" w14:textId="3B07640C" w:rsidR="00701E03" w:rsidRPr="00E20483" w:rsidRDefault="00FD6609" w:rsidP="004B15D0">
      <w:pPr>
        <w:numPr>
          <w:ilvl w:val="0"/>
          <w:numId w:val="1"/>
        </w:numPr>
        <w:tabs>
          <w:tab w:val="left" w:pos="360"/>
        </w:tabs>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Did the authors discuss ethical issues or distributional effects related to the implementation of the intervention(s)?</w:t>
      </w:r>
      <w:r w:rsidR="00B557BF" w:rsidRPr="00E20483">
        <w:rPr>
          <w:rFonts w:ascii="GibsonLight" w:eastAsia="Arial Unicode MS" w:hAnsi="GibsonLight"/>
          <w:b/>
          <w:spacing w:val="12"/>
          <w:sz w:val="22"/>
          <w:szCs w:val="22"/>
        </w:rPr>
        <w:t xml:space="preserve"> </w:t>
      </w:r>
    </w:p>
    <w:p w14:paraId="48539F33" w14:textId="4DFE61C1" w:rsidR="00FD6609" w:rsidRPr="00E20483" w:rsidRDefault="00FD6609"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Yes</w:t>
      </w:r>
      <w:r w:rsidR="00950564" w:rsidRPr="00E20483">
        <w:rPr>
          <w:rFonts w:ascii="GibsonLight" w:eastAsia="Arial Unicode MS" w:hAnsi="GibsonLight"/>
          <w:spacing w:val="12"/>
          <w:sz w:val="22"/>
          <w:szCs w:val="22"/>
        </w:rPr>
        <w:t>: Article discusses healthy equity issues surrounding the implementation of the primary intervention</w:t>
      </w:r>
    </w:p>
    <w:p w14:paraId="3995F137" w14:textId="581E0DEE" w:rsidR="00FD6609" w:rsidRDefault="00FD6609"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w:t>
      </w:r>
      <w:r w:rsidR="00950564" w:rsidRPr="00E20483">
        <w:rPr>
          <w:rFonts w:ascii="GibsonLight" w:eastAsia="Arial Unicode MS" w:hAnsi="GibsonLight"/>
          <w:spacing w:val="12"/>
          <w:sz w:val="22"/>
          <w:szCs w:val="22"/>
        </w:rPr>
        <w:t>: Articles makes no mention of health equity</w:t>
      </w:r>
      <w:r w:rsidR="00671A81">
        <w:rPr>
          <w:rFonts w:ascii="GibsonLight" w:eastAsia="Arial Unicode MS" w:hAnsi="GibsonLight"/>
          <w:spacing w:val="12"/>
          <w:sz w:val="22"/>
          <w:szCs w:val="22"/>
        </w:rPr>
        <w:t>.</w:t>
      </w:r>
    </w:p>
    <w:p w14:paraId="71AEC08E" w14:textId="456F9761" w:rsidR="00671A81" w:rsidRPr="00671A81" w:rsidRDefault="00671A81" w:rsidP="00671A81">
      <w:pPr>
        <w:spacing w:after="120"/>
        <w:ind w:left="720"/>
        <w:rPr>
          <w:rFonts w:ascii="GibsonLight" w:eastAsia="Arial Unicode MS" w:hAnsi="GibsonLight"/>
          <w:spacing w:val="12"/>
          <w:sz w:val="24"/>
          <w:szCs w:val="22"/>
        </w:rPr>
      </w:pPr>
      <w:r>
        <w:rPr>
          <w:rFonts w:ascii="GibsonLight" w:eastAsia="Arial Unicode MS" w:hAnsi="GibsonLight"/>
          <w:spacing w:val="12"/>
          <w:sz w:val="24"/>
          <w:szCs w:val="22"/>
        </w:rPr>
        <w:t>Note: This data are</w:t>
      </w:r>
      <w:r w:rsidRPr="003C11A5">
        <w:rPr>
          <w:rFonts w:ascii="GibsonLight" w:eastAsia="Arial Unicode MS" w:hAnsi="GibsonLight"/>
          <w:spacing w:val="12"/>
          <w:sz w:val="24"/>
          <w:szCs w:val="22"/>
        </w:rPr>
        <w:t xml:space="preserve"> available </w:t>
      </w:r>
      <w:r>
        <w:rPr>
          <w:rFonts w:ascii="GibsonLight" w:eastAsia="Arial Unicode MS" w:hAnsi="GibsonLight"/>
          <w:spacing w:val="12"/>
          <w:sz w:val="24"/>
          <w:szCs w:val="22"/>
        </w:rPr>
        <w:t xml:space="preserve">for articles published in 2021 and onward. </w:t>
      </w:r>
      <w:r w:rsidRPr="003C11A5">
        <w:rPr>
          <w:rFonts w:ascii="GibsonLight" w:eastAsia="Arial Unicode MS" w:hAnsi="GibsonLight"/>
          <w:spacing w:val="12"/>
          <w:sz w:val="24"/>
          <w:szCs w:val="22"/>
        </w:rPr>
        <w:t>For articles published from 2016-2020, an article text search was used using phrases “equity weight”, “extended cost effectiveness”, and “distributional cost effectiveness” to identify articles that discuss equity.</w:t>
      </w:r>
    </w:p>
    <w:p w14:paraId="3617EB57" w14:textId="32F911B7" w:rsidR="00FD6609" w:rsidRPr="00E20483" w:rsidRDefault="00FD6609" w:rsidP="004B15D0">
      <w:pPr>
        <w:numPr>
          <w:ilvl w:val="0"/>
          <w:numId w:val="1"/>
        </w:numPr>
        <w:tabs>
          <w:tab w:val="left" w:pos="360"/>
        </w:tabs>
        <w:spacing w:after="120"/>
        <w:ind w:left="360"/>
        <w:rPr>
          <w:rFonts w:ascii="GibsonLight" w:eastAsia="Arial Unicode MS" w:hAnsi="GibsonLight"/>
          <w:spacing w:val="12"/>
          <w:sz w:val="22"/>
          <w:szCs w:val="22"/>
        </w:rPr>
      </w:pPr>
      <w:r w:rsidRPr="00E20483">
        <w:rPr>
          <w:rFonts w:ascii="GibsonLight" w:eastAsia="Arial Unicode MS" w:hAnsi="GibsonLight"/>
          <w:b/>
          <w:spacing w:val="12"/>
          <w:sz w:val="22"/>
          <w:szCs w:val="22"/>
        </w:rPr>
        <w:t>Did the study explicitly quantify equity effects of health interventions?</w:t>
      </w:r>
      <w:r w:rsidR="00950564" w:rsidRPr="00E20483">
        <w:rPr>
          <w:rFonts w:ascii="GibsonLight" w:eastAsia="Arial Unicode MS" w:hAnsi="GibsonLight"/>
          <w:b/>
          <w:spacing w:val="12"/>
          <w:sz w:val="22"/>
          <w:szCs w:val="22"/>
        </w:rPr>
        <w:t xml:space="preserve"> </w:t>
      </w:r>
      <w:r w:rsidR="00950564" w:rsidRPr="00E20483">
        <w:rPr>
          <w:rFonts w:ascii="GibsonLight" w:eastAsia="Arial Unicode MS" w:hAnsi="GibsonLight"/>
          <w:spacing w:val="12"/>
          <w:sz w:val="22"/>
          <w:szCs w:val="22"/>
        </w:rPr>
        <w:t>These analyses may be the base case, or included as a sensitivity analysis.</w:t>
      </w:r>
    </w:p>
    <w:p w14:paraId="40C3B36D" w14:textId="7642707A" w:rsidR="00FD6609" w:rsidRPr="00E20483" w:rsidRDefault="00FD6609"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Yes</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 xml:space="preserve">If yes, </w:t>
      </w:r>
      <w:r w:rsidR="008C38E2" w:rsidRPr="00E20483">
        <w:rPr>
          <w:rFonts w:ascii="GibsonLight" w:eastAsia="Arial Unicode MS" w:hAnsi="GibsonLight"/>
          <w:spacing w:val="12"/>
          <w:sz w:val="22"/>
          <w:szCs w:val="22"/>
        </w:rPr>
        <w:t>select</w:t>
      </w:r>
      <w:r w:rsidRPr="00E20483">
        <w:rPr>
          <w:rFonts w:ascii="GibsonLight" w:eastAsia="Arial Unicode MS" w:hAnsi="GibsonLight"/>
          <w:spacing w:val="12"/>
          <w:sz w:val="22"/>
          <w:szCs w:val="22"/>
        </w:rPr>
        <w:t xml:space="preserve"> the type(s)</w:t>
      </w:r>
      <w:r w:rsidR="007174B9" w:rsidRPr="00E20483">
        <w:rPr>
          <w:rFonts w:ascii="GibsonLight" w:eastAsia="Arial Unicode MS" w:hAnsi="GibsonLight"/>
          <w:spacing w:val="12"/>
          <w:sz w:val="22"/>
          <w:szCs w:val="22"/>
        </w:rPr>
        <w:t>:</w:t>
      </w:r>
    </w:p>
    <w:p w14:paraId="1AC2C4E0" w14:textId="0207CF7D" w:rsidR="00774775" w:rsidRPr="00E20483" w:rsidRDefault="00FD6609" w:rsidP="004B15D0">
      <w:pPr>
        <w:pStyle w:val="ListParagraph"/>
        <w:numPr>
          <w:ilvl w:val="0"/>
          <w:numId w:val="23"/>
        </w:numPr>
        <w:autoSpaceDE/>
        <w:autoSpaceDN/>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Distributional CEA</w:t>
      </w:r>
      <w:r w:rsidR="00B557BF" w:rsidRPr="00E20483">
        <w:rPr>
          <w:rFonts w:ascii="GibsonLight" w:eastAsia="Arial Unicode MS" w:hAnsi="GibsonLight"/>
          <w:spacing w:val="12"/>
          <w:sz w:val="22"/>
          <w:szCs w:val="22"/>
        </w:rPr>
        <w:t>:</w:t>
      </w:r>
      <w:r w:rsidR="00701E03" w:rsidRPr="00E20483">
        <w:rPr>
          <w:rFonts w:ascii="GibsonLight" w:eastAsia="Arial Unicode MS" w:hAnsi="GibsonLight"/>
          <w:spacing w:val="12"/>
          <w:sz w:val="22"/>
          <w:szCs w:val="22"/>
        </w:rPr>
        <w:t xml:space="preserve"> </w:t>
      </w:r>
      <w:r w:rsidR="00774775" w:rsidRPr="00E20483">
        <w:rPr>
          <w:rFonts w:ascii="GibsonLight" w:eastAsia="Arial Unicode MS" w:hAnsi="GibsonLight"/>
          <w:spacing w:val="12"/>
          <w:sz w:val="22"/>
          <w:szCs w:val="22"/>
        </w:rPr>
        <w:t xml:space="preserve">An extension of CEAs that compares the distribution of health effects and health opportunity costs of different interventions by subgroup. </w:t>
      </w:r>
    </w:p>
    <w:p w14:paraId="2DD2C154" w14:textId="5CB0B475" w:rsidR="00774775" w:rsidRPr="00E20483" w:rsidRDefault="00FD6609" w:rsidP="004B15D0">
      <w:pPr>
        <w:pStyle w:val="ListParagraph"/>
        <w:numPr>
          <w:ilvl w:val="0"/>
          <w:numId w:val="23"/>
        </w:numPr>
        <w:autoSpaceDE/>
        <w:autoSpaceDN/>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E</w:t>
      </w:r>
      <w:r w:rsidR="00030149" w:rsidRPr="00E20483">
        <w:rPr>
          <w:rFonts w:ascii="GibsonLight" w:eastAsia="Arial Unicode MS" w:hAnsi="GibsonLight"/>
          <w:b/>
          <w:spacing w:val="12"/>
          <w:sz w:val="22"/>
          <w:szCs w:val="22"/>
        </w:rPr>
        <w:t>xtended CEA</w:t>
      </w:r>
      <w:r w:rsidR="00701E03" w:rsidRPr="00E20483">
        <w:rPr>
          <w:rFonts w:ascii="GibsonLight" w:eastAsia="Arial Unicode MS" w:hAnsi="GibsonLight"/>
          <w:spacing w:val="12"/>
          <w:sz w:val="22"/>
          <w:szCs w:val="22"/>
        </w:rPr>
        <w:t xml:space="preserve">: </w:t>
      </w:r>
      <w:r w:rsidR="00030149" w:rsidRPr="00E20483">
        <w:rPr>
          <w:rFonts w:ascii="GibsonLight" w:eastAsia="Arial Unicode MS" w:hAnsi="GibsonLight"/>
          <w:spacing w:val="12"/>
          <w:sz w:val="22"/>
          <w:szCs w:val="22"/>
        </w:rPr>
        <w:t>An extension of CEAs</w:t>
      </w:r>
      <w:r w:rsidR="00774775" w:rsidRPr="00E20483">
        <w:rPr>
          <w:rFonts w:ascii="GibsonLight" w:eastAsia="Arial Unicode MS" w:hAnsi="GibsonLight"/>
          <w:spacing w:val="12"/>
          <w:sz w:val="22"/>
          <w:szCs w:val="22"/>
        </w:rPr>
        <w:t xml:space="preserve"> that assesses the distribution of both health effects and protection against illness-related impoverishment. </w:t>
      </w:r>
    </w:p>
    <w:p w14:paraId="50E5E68D" w14:textId="00158466" w:rsidR="00FD6609" w:rsidRPr="00E20483" w:rsidRDefault="00FD6609" w:rsidP="004B15D0">
      <w:pPr>
        <w:pStyle w:val="ListParagraph"/>
        <w:numPr>
          <w:ilvl w:val="0"/>
          <w:numId w:val="23"/>
        </w:numPr>
        <w:autoSpaceDE/>
        <w:autoSpaceDN/>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Equity weighting</w:t>
      </w:r>
      <w:r w:rsidR="00950564" w:rsidRPr="00E20483">
        <w:rPr>
          <w:rFonts w:ascii="GibsonLight" w:eastAsia="Arial Unicode MS" w:hAnsi="GibsonLight"/>
          <w:spacing w:val="12"/>
          <w:sz w:val="22"/>
          <w:szCs w:val="22"/>
        </w:rPr>
        <w:t>: Assesses trade-offs</w:t>
      </w:r>
      <w:r w:rsidR="00950564" w:rsidRPr="00E20483">
        <w:rPr>
          <w:rFonts w:ascii="GibsonLight" w:hAnsi="GibsonLight"/>
          <w:spacing w:val="12"/>
        </w:rPr>
        <w:t xml:space="preserve"> </w:t>
      </w:r>
      <w:r w:rsidR="00950564" w:rsidRPr="00E20483">
        <w:rPr>
          <w:rFonts w:ascii="GibsonLight" w:eastAsia="Arial Unicode MS" w:hAnsi="GibsonLight"/>
          <w:spacing w:val="12"/>
          <w:sz w:val="22"/>
          <w:szCs w:val="22"/>
        </w:rPr>
        <w:t xml:space="preserve">between equity and efficacy by quantifying how much concern for equity is required to choose cost-ineffective options that improve </w:t>
      </w:r>
      <w:r w:rsidR="00950564" w:rsidRPr="00E20483">
        <w:rPr>
          <w:rFonts w:ascii="GibsonLight" w:eastAsia="Arial Unicode MS" w:hAnsi="GibsonLight"/>
          <w:spacing w:val="12"/>
          <w:sz w:val="22"/>
          <w:szCs w:val="22"/>
        </w:rPr>
        <w:lastRenderedPageBreak/>
        <w:t>equity and cost-effective options that harm equity. Equity weights for health benefits can be applied to people with different characteristics or using an “equity parameter” that quantifies the degree of concern for reducing health inequity versus improving total health.</w:t>
      </w:r>
    </w:p>
    <w:p w14:paraId="1ECA8671" w14:textId="2C46C1A6" w:rsidR="00FD6609" w:rsidRPr="00E20483" w:rsidRDefault="00FD6609" w:rsidP="004B15D0">
      <w:pPr>
        <w:pStyle w:val="ListParagraph"/>
        <w:numPr>
          <w:ilvl w:val="0"/>
          <w:numId w:val="23"/>
        </w:numPr>
        <w:autoSpaceDE/>
        <w:autoSpaceDN/>
        <w:spacing w:after="120"/>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Other</w:t>
      </w:r>
      <w:r w:rsidR="00950564" w:rsidRPr="00E20483">
        <w:rPr>
          <w:rFonts w:ascii="GibsonLight" w:eastAsia="Arial Unicode MS" w:hAnsi="GibsonLight"/>
          <w:b/>
          <w:spacing w:val="12"/>
          <w:sz w:val="22"/>
          <w:szCs w:val="22"/>
        </w:rPr>
        <w:t xml:space="preserve">: </w:t>
      </w:r>
      <w:r w:rsidR="00950564" w:rsidRPr="00E20483">
        <w:rPr>
          <w:rFonts w:ascii="GibsonLight" w:eastAsia="Arial Unicode MS" w:hAnsi="GibsonLight"/>
          <w:spacing w:val="12"/>
          <w:sz w:val="22"/>
          <w:szCs w:val="22"/>
        </w:rPr>
        <w:t xml:space="preserve">Other </w:t>
      </w:r>
      <w:r w:rsidR="00E05E33" w:rsidRPr="00E20483">
        <w:rPr>
          <w:rFonts w:ascii="GibsonLight" w:eastAsia="Arial Unicode MS" w:hAnsi="GibsonLight"/>
          <w:spacing w:val="12"/>
          <w:sz w:val="22"/>
          <w:szCs w:val="22"/>
        </w:rPr>
        <w:t>methods for quantifying equity effects that are not described above.</w:t>
      </w:r>
      <w:r w:rsidR="00950564" w:rsidRPr="00E20483">
        <w:rPr>
          <w:rFonts w:ascii="GibsonLight" w:eastAsia="Arial Unicode MS" w:hAnsi="GibsonLight"/>
          <w:spacing w:val="12"/>
          <w:sz w:val="22"/>
          <w:szCs w:val="22"/>
        </w:rPr>
        <w:t xml:space="preserve"> </w:t>
      </w:r>
    </w:p>
    <w:p w14:paraId="113531C9" w14:textId="131601CC" w:rsidR="00FD6609" w:rsidRPr="00E20483" w:rsidRDefault="00FD6609"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w:t>
      </w:r>
      <w:r w:rsidR="00950564" w:rsidRPr="00E20483">
        <w:rPr>
          <w:rFonts w:ascii="GibsonLight" w:eastAsia="Arial Unicode MS" w:hAnsi="GibsonLight"/>
          <w:spacing w:val="12"/>
          <w:sz w:val="22"/>
          <w:szCs w:val="22"/>
        </w:rPr>
        <w:t>: The authors discussed health equity but did not conduct a formal analysis.</w:t>
      </w:r>
    </w:p>
    <w:p w14:paraId="47E72C5D" w14:textId="15841D46" w:rsidR="00FD6609" w:rsidRPr="00E20483" w:rsidRDefault="00512724" w:rsidP="004B15D0">
      <w:pPr>
        <w:numPr>
          <w:ilvl w:val="0"/>
          <w:numId w:val="1"/>
        </w:numPr>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Novel</w:t>
      </w:r>
      <w:r w:rsidR="00FD6609" w:rsidRPr="00E20483">
        <w:rPr>
          <w:rFonts w:ascii="GibsonLight" w:eastAsia="Arial Unicode MS" w:hAnsi="GibsonLight"/>
          <w:b/>
          <w:spacing w:val="12"/>
          <w:sz w:val="22"/>
          <w:szCs w:val="22"/>
        </w:rPr>
        <w:t xml:space="preserve"> elements of value</w:t>
      </w:r>
      <w:r w:rsidR="007174B9" w:rsidRPr="00E20483">
        <w:rPr>
          <w:rFonts w:ascii="GibsonLight" w:eastAsia="Arial Unicode MS" w:hAnsi="GibsonLight"/>
          <w:spacing w:val="12"/>
          <w:sz w:val="22"/>
          <w:szCs w:val="22"/>
        </w:rPr>
        <w:t>:</w:t>
      </w:r>
      <w:r w:rsidR="00AC4A68" w:rsidRPr="00E20483">
        <w:rPr>
          <w:rFonts w:ascii="GibsonLight" w:eastAsia="Arial Unicode MS" w:hAnsi="GibsonLight"/>
          <w:spacing w:val="12"/>
          <w:sz w:val="22"/>
          <w:szCs w:val="22"/>
        </w:rPr>
        <w:t xml:space="preserve"> Novel elements broaden the view of what constitutes value in health care, and are generally included in the societal perspective. They address limitations related to traditional CEAs that only capture a subset of benefits generated by an intervention.</w:t>
      </w:r>
    </w:p>
    <w:p w14:paraId="67554767" w14:textId="7856F3F0" w:rsidR="00FD6609" w:rsidRPr="00E20483" w:rsidRDefault="00220D1C"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Yes</w:t>
      </w:r>
      <w:r w:rsidR="007174B9" w:rsidRPr="00E20483">
        <w:rPr>
          <w:rFonts w:ascii="GibsonLight" w:eastAsia="Arial Unicode MS" w:hAnsi="GibsonLight"/>
          <w:spacing w:val="12"/>
          <w:sz w:val="22"/>
          <w:szCs w:val="22"/>
        </w:rPr>
        <w:t>:</w:t>
      </w:r>
      <w:r w:rsidR="00FD6609" w:rsidRPr="00E20483">
        <w:rPr>
          <w:rFonts w:ascii="GibsonLight" w:eastAsia="Arial Unicode MS" w:hAnsi="GibsonLight"/>
          <w:b/>
          <w:spacing w:val="12"/>
          <w:sz w:val="22"/>
          <w:szCs w:val="22"/>
        </w:rPr>
        <w:t xml:space="preserve"> </w:t>
      </w:r>
      <w:r w:rsidR="00FD6609" w:rsidRPr="00E20483">
        <w:rPr>
          <w:rFonts w:ascii="GibsonLight" w:eastAsia="Arial Unicode MS" w:hAnsi="GibsonLight"/>
          <w:spacing w:val="12"/>
          <w:sz w:val="22"/>
          <w:szCs w:val="22"/>
        </w:rPr>
        <w:t>If yes,</w:t>
      </w:r>
      <w:r w:rsidR="00E05E33" w:rsidRPr="00E20483">
        <w:rPr>
          <w:rFonts w:ascii="GibsonLight" w:eastAsia="Arial Unicode MS" w:hAnsi="GibsonLight"/>
          <w:spacing w:val="12"/>
          <w:sz w:val="22"/>
          <w:szCs w:val="22"/>
        </w:rPr>
        <w:t xml:space="preserve"> the following novel elements are reported:</w:t>
      </w:r>
    </w:p>
    <w:p w14:paraId="4DA116E1" w14:textId="5EAFD3A9" w:rsidR="00FD6609" w:rsidRPr="00671A81" w:rsidRDefault="00FD6609" w:rsidP="004B15D0">
      <w:pPr>
        <w:pStyle w:val="ListParagraph"/>
        <w:numPr>
          <w:ilvl w:val="0"/>
          <w:numId w:val="24"/>
        </w:numPr>
        <w:autoSpaceDE/>
        <w:autoSpaceDN/>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Real option-value</w:t>
      </w:r>
      <w:r w:rsidR="00B40CDD" w:rsidRPr="00E20483">
        <w:rPr>
          <w:rFonts w:ascii="GibsonLight" w:eastAsia="Arial Unicode MS" w:hAnsi="GibsonLight"/>
          <w:spacing w:val="12"/>
          <w:sz w:val="22"/>
          <w:szCs w:val="22"/>
        </w:rPr>
        <w:t>: captures the value of future benefits generated from extended life-years due to treatment</w:t>
      </w:r>
    </w:p>
    <w:p w14:paraId="170C3D13" w14:textId="70336161" w:rsidR="00671A81" w:rsidRPr="00671A81" w:rsidRDefault="00671A81" w:rsidP="00671A81">
      <w:pPr>
        <w:pStyle w:val="ListParagraph"/>
        <w:numPr>
          <w:ilvl w:val="1"/>
          <w:numId w:val="24"/>
        </w:numPr>
        <w:autoSpaceDE/>
        <w:autoSpaceDN/>
        <w:rPr>
          <w:rFonts w:ascii="Arial" w:eastAsia="Arial Unicode MS" w:hAnsi="Arial" w:cs="Arial"/>
          <w:b/>
          <w:spacing w:val="12"/>
          <w:sz w:val="24"/>
          <w:szCs w:val="22"/>
        </w:rPr>
      </w:pPr>
      <w:r w:rsidRPr="003C11A5">
        <w:rPr>
          <w:rFonts w:ascii="GibsonLight" w:eastAsia="Arial Unicode MS" w:hAnsi="GibsonLight"/>
          <w:spacing w:val="12"/>
          <w:sz w:val="22"/>
          <w:szCs w:val="24"/>
        </w:rPr>
        <w:t>Note: This data are available for articles published in 2021 and onward</w:t>
      </w:r>
      <w:r w:rsidRPr="003C11A5">
        <w:rPr>
          <w:rFonts w:ascii="GibsonLight" w:eastAsia="Arial Unicode MS" w:hAnsi="GibsonLight"/>
          <w:bCs/>
          <w:color w:val="FF0000"/>
          <w:spacing w:val="12"/>
          <w:sz w:val="22"/>
          <w:szCs w:val="24"/>
        </w:rPr>
        <w:t xml:space="preserve">. </w:t>
      </w:r>
      <w:r w:rsidRPr="003C11A5">
        <w:rPr>
          <w:rFonts w:ascii="GibsonLight" w:eastAsia="Arial Unicode MS" w:hAnsi="GibsonLight" w:cs="Arial"/>
          <w:bCs/>
          <w:spacing w:val="12"/>
          <w:sz w:val="22"/>
          <w:szCs w:val="24"/>
        </w:rPr>
        <w:t>For articles published from 2016-2020, an article text search was used using the phrase “real option value” to identify real option value.</w:t>
      </w:r>
    </w:p>
    <w:p w14:paraId="37F7951F" w14:textId="67042619" w:rsidR="00FD6609" w:rsidRPr="00E20483" w:rsidRDefault="00FD6609" w:rsidP="004B15D0">
      <w:pPr>
        <w:pStyle w:val="ListParagraph"/>
        <w:numPr>
          <w:ilvl w:val="0"/>
          <w:numId w:val="24"/>
        </w:numPr>
        <w:autoSpaceDE/>
        <w:autoSpaceDN/>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Value of hope</w:t>
      </w:r>
      <w:r w:rsidR="00B40CDD" w:rsidRPr="00E20483">
        <w:rPr>
          <w:rFonts w:ascii="GibsonLight" w:eastAsia="Arial Unicode MS" w:hAnsi="GibsonLight"/>
          <w:spacing w:val="12"/>
          <w:sz w:val="22"/>
          <w:szCs w:val="22"/>
        </w:rPr>
        <w:t>: captures a premium on therapies that offer the possibility of substantial benefit for a subset of recipients, particularly patients with a serious disease</w:t>
      </w:r>
    </w:p>
    <w:p w14:paraId="3020A8DE" w14:textId="488771C5" w:rsidR="00FD6609" w:rsidRDefault="00FD6609" w:rsidP="004B15D0">
      <w:pPr>
        <w:pStyle w:val="ListParagraph"/>
        <w:numPr>
          <w:ilvl w:val="0"/>
          <w:numId w:val="24"/>
        </w:numPr>
        <w:autoSpaceDE/>
        <w:autoSpaceDN/>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Severity of disease</w:t>
      </w:r>
      <w:r w:rsidR="00B40CDD" w:rsidRPr="00E20483">
        <w:rPr>
          <w:rFonts w:ascii="GibsonLight" w:eastAsia="Arial Unicode MS" w:hAnsi="GibsonLight"/>
          <w:spacing w:val="12"/>
          <w:sz w:val="22"/>
          <w:szCs w:val="22"/>
        </w:rPr>
        <w:t>: captures a greater value placed by individuals for health gains when the initial state of health is inferior</w:t>
      </w:r>
    </w:p>
    <w:p w14:paraId="6C218025" w14:textId="5911925F" w:rsidR="00671A81" w:rsidRPr="00671A81" w:rsidRDefault="00671A81" w:rsidP="00671A81">
      <w:pPr>
        <w:pStyle w:val="ListParagraph"/>
        <w:numPr>
          <w:ilvl w:val="1"/>
          <w:numId w:val="24"/>
        </w:numPr>
        <w:autoSpaceDE/>
        <w:autoSpaceDN/>
        <w:rPr>
          <w:rFonts w:ascii="Arial" w:eastAsia="Arial Unicode MS" w:hAnsi="Arial" w:cs="Arial"/>
          <w:b/>
          <w:spacing w:val="12"/>
          <w:sz w:val="24"/>
          <w:szCs w:val="22"/>
        </w:rPr>
      </w:pPr>
      <w:r w:rsidRPr="003C11A5">
        <w:rPr>
          <w:rFonts w:ascii="GibsonLight" w:eastAsia="Arial Unicode MS" w:hAnsi="GibsonLight"/>
          <w:spacing w:val="12"/>
          <w:sz w:val="22"/>
          <w:szCs w:val="24"/>
        </w:rPr>
        <w:t>Note: This data are available for articles published in 2021 and onward</w:t>
      </w:r>
      <w:r w:rsidRPr="003C11A5">
        <w:rPr>
          <w:rFonts w:ascii="GibsonLight" w:eastAsia="Arial Unicode MS" w:hAnsi="GibsonLight"/>
          <w:bCs/>
          <w:color w:val="FF0000"/>
          <w:spacing w:val="12"/>
          <w:sz w:val="22"/>
          <w:szCs w:val="24"/>
        </w:rPr>
        <w:t xml:space="preserve">. </w:t>
      </w:r>
      <w:r w:rsidRPr="003C11A5">
        <w:rPr>
          <w:rFonts w:ascii="GibsonLight" w:eastAsia="Arial Unicode MS" w:hAnsi="GibsonLight" w:cs="Arial"/>
          <w:bCs/>
          <w:spacing w:val="12"/>
          <w:sz w:val="22"/>
          <w:szCs w:val="24"/>
        </w:rPr>
        <w:t>For articles published from 2016-2020, an article text search was used using the phrase “</w:t>
      </w:r>
      <w:r>
        <w:rPr>
          <w:rFonts w:ascii="GibsonLight" w:eastAsia="Arial Unicode MS" w:hAnsi="GibsonLight" w:cs="Arial"/>
          <w:bCs/>
          <w:spacing w:val="12"/>
          <w:sz w:val="22"/>
          <w:szCs w:val="24"/>
        </w:rPr>
        <w:t>severity of disease</w:t>
      </w:r>
      <w:r w:rsidRPr="003C11A5">
        <w:rPr>
          <w:rFonts w:ascii="GibsonLight" w:eastAsia="Arial Unicode MS" w:hAnsi="GibsonLight" w:cs="Arial"/>
          <w:bCs/>
          <w:spacing w:val="12"/>
          <w:sz w:val="22"/>
          <w:szCs w:val="24"/>
        </w:rPr>
        <w:t xml:space="preserve">” to identify </w:t>
      </w:r>
      <w:r>
        <w:rPr>
          <w:rFonts w:ascii="GibsonLight" w:eastAsia="Arial Unicode MS" w:hAnsi="GibsonLight" w:cs="Arial"/>
          <w:bCs/>
          <w:spacing w:val="12"/>
          <w:sz w:val="22"/>
          <w:szCs w:val="24"/>
        </w:rPr>
        <w:t>severity of disease</w:t>
      </w:r>
      <w:r w:rsidRPr="003C11A5">
        <w:rPr>
          <w:rFonts w:ascii="GibsonLight" w:eastAsia="Arial Unicode MS" w:hAnsi="GibsonLight" w:cs="Arial"/>
          <w:bCs/>
          <w:spacing w:val="12"/>
          <w:sz w:val="22"/>
          <w:szCs w:val="24"/>
        </w:rPr>
        <w:t>.</w:t>
      </w:r>
    </w:p>
    <w:p w14:paraId="6FFB27FC" w14:textId="18391F73" w:rsidR="00FD6609" w:rsidRPr="00E20483" w:rsidRDefault="00FD6609" w:rsidP="004B15D0">
      <w:pPr>
        <w:pStyle w:val="ListParagraph"/>
        <w:numPr>
          <w:ilvl w:val="0"/>
          <w:numId w:val="24"/>
        </w:numPr>
        <w:autoSpaceDE/>
        <w:autoSpaceDN/>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Fear of contagion and disease</w:t>
      </w:r>
      <w:r w:rsidR="00B40CDD" w:rsidRPr="00E20483">
        <w:rPr>
          <w:rFonts w:ascii="GibsonLight" w:eastAsia="Arial Unicode MS" w:hAnsi="GibsonLight"/>
          <w:spacing w:val="12"/>
          <w:sz w:val="22"/>
          <w:szCs w:val="22"/>
        </w:rPr>
        <w:t>: captures value of fearing the spread of disease</w:t>
      </w:r>
    </w:p>
    <w:p w14:paraId="1139D880" w14:textId="0EF90A1D" w:rsidR="00FD6609" w:rsidRPr="00E20483" w:rsidRDefault="00FD6609" w:rsidP="004B15D0">
      <w:pPr>
        <w:pStyle w:val="ListParagraph"/>
        <w:numPr>
          <w:ilvl w:val="0"/>
          <w:numId w:val="24"/>
        </w:numPr>
        <w:autoSpaceDE/>
        <w:autoSpaceDN/>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Insur</w:t>
      </w:r>
      <w:r w:rsidR="00B40CDD" w:rsidRPr="00E20483">
        <w:rPr>
          <w:rFonts w:ascii="GibsonLight" w:eastAsia="Arial Unicode MS" w:hAnsi="GibsonLight"/>
          <w:b/>
          <w:spacing w:val="12"/>
          <w:sz w:val="22"/>
          <w:szCs w:val="22"/>
        </w:rPr>
        <w:t>ance value (financial and health)</w:t>
      </w:r>
      <w:r w:rsidR="00B40CDD" w:rsidRPr="00E20483">
        <w:rPr>
          <w:rFonts w:ascii="GibsonLight" w:eastAsia="Arial Unicode MS" w:hAnsi="GibsonLight"/>
          <w:spacing w:val="12"/>
          <w:sz w:val="22"/>
          <w:szCs w:val="22"/>
        </w:rPr>
        <w:t>: captures the value placed by individuals of a treatment being available to them through a health plan, even if they never utilize it</w:t>
      </w:r>
    </w:p>
    <w:p w14:paraId="1D5ECFB7" w14:textId="3627CF70" w:rsidR="00FD6609" w:rsidRPr="00E20483" w:rsidRDefault="00FD6609" w:rsidP="004B15D0">
      <w:pPr>
        <w:pStyle w:val="ListParagraph"/>
        <w:numPr>
          <w:ilvl w:val="0"/>
          <w:numId w:val="24"/>
        </w:numPr>
        <w:autoSpaceDE/>
        <w:autoSpaceDN/>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Value of Knowing</w:t>
      </w:r>
      <w:r w:rsidR="00B40CDD" w:rsidRPr="00E20483">
        <w:rPr>
          <w:rFonts w:ascii="GibsonLight" w:eastAsia="Arial Unicode MS" w:hAnsi="GibsonLight"/>
          <w:spacing w:val="12"/>
          <w:sz w:val="22"/>
          <w:szCs w:val="22"/>
        </w:rPr>
        <w:t>: captures the benefit of reducing uncertainty, such as whether treatment will provide benefits or diagnosis of diseases</w:t>
      </w:r>
    </w:p>
    <w:p w14:paraId="79C0D035" w14:textId="7610D9DA" w:rsidR="00D1471B" w:rsidRPr="00671A81" w:rsidRDefault="00950564" w:rsidP="004B15D0">
      <w:pPr>
        <w:pStyle w:val="ListParagraph"/>
        <w:numPr>
          <w:ilvl w:val="0"/>
          <w:numId w:val="24"/>
        </w:numPr>
        <w:autoSpaceDE/>
        <w:autoSpaceDN/>
        <w:spacing w:after="120"/>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 xml:space="preserve">Other: </w:t>
      </w:r>
      <w:r w:rsidRPr="00E20483">
        <w:rPr>
          <w:rFonts w:ascii="GibsonLight" w:eastAsia="Arial Unicode MS" w:hAnsi="GibsonLight"/>
          <w:spacing w:val="12"/>
          <w:sz w:val="22"/>
          <w:szCs w:val="22"/>
        </w:rPr>
        <w:t>Other than the choices above.</w:t>
      </w:r>
    </w:p>
    <w:p w14:paraId="51549124" w14:textId="3EA7BA46" w:rsidR="00671A81" w:rsidRPr="00671A81" w:rsidRDefault="00671A81" w:rsidP="00671A81">
      <w:pPr>
        <w:pStyle w:val="ListParagraph"/>
        <w:numPr>
          <w:ilvl w:val="1"/>
          <w:numId w:val="24"/>
        </w:numPr>
        <w:autoSpaceDE/>
        <w:autoSpaceDN/>
        <w:rPr>
          <w:rFonts w:ascii="Arial" w:eastAsia="Arial Unicode MS" w:hAnsi="Arial" w:cs="Arial"/>
          <w:b/>
          <w:spacing w:val="12"/>
          <w:sz w:val="24"/>
          <w:szCs w:val="22"/>
        </w:rPr>
      </w:pPr>
      <w:r w:rsidRPr="003C11A5">
        <w:rPr>
          <w:rFonts w:ascii="GibsonLight" w:eastAsia="Arial Unicode MS" w:hAnsi="GibsonLight"/>
          <w:spacing w:val="12"/>
          <w:sz w:val="22"/>
          <w:szCs w:val="24"/>
        </w:rPr>
        <w:t>Note: This data are available for articles published in 2021 and onward</w:t>
      </w:r>
      <w:r w:rsidRPr="003C11A5">
        <w:rPr>
          <w:rFonts w:ascii="GibsonLight" w:eastAsia="Arial Unicode MS" w:hAnsi="GibsonLight"/>
          <w:bCs/>
          <w:color w:val="FF0000"/>
          <w:spacing w:val="12"/>
          <w:sz w:val="22"/>
          <w:szCs w:val="24"/>
        </w:rPr>
        <w:t xml:space="preserve">. </w:t>
      </w:r>
      <w:r w:rsidRPr="003C11A5">
        <w:rPr>
          <w:rFonts w:ascii="GibsonLight" w:eastAsia="Arial Unicode MS" w:hAnsi="GibsonLight" w:cs="Arial"/>
          <w:bCs/>
          <w:spacing w:val="12"/>
          <w:sz w:val="22"/>
          <w:szCs w:val="24"/>
        </w:rPr>
        <w:t>For articles published from 2016-2020, an article text search was used using the phrase “adherence improving”, “improvement in adherence”, “genericization”, “future drug price”, “life cycle pricing”, “future cohorts” to identify other novel elements of value.</w:t>
      </w:r>
    </w:p>
    <w:p w14:paraId="7043989F" w14:textId="2703241C" w:rsidR="00FD6609" w:rsidRPr="00E20483" w:rsidRDefault="00220D1C" w:rsidP="004B15D0">
      <w:pPr>
        <w:autoSpaceDE/>
        <w:autoSpaceDN/>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w:t>
      </w:r>
      <w:r w:rsidR="00950564" w:rsidRPr="00E20483">
        <w:rPr>
          <w:rFonts w:ascii="GibsonLight" w:eastAsia="Arial Unicode MS" w:hAnsi="GibsonLight"/>
          <w:b/>
          <w:spacing w:val="12"/>
          <w:sz w:val="22"/>
          <w:szCs w:val="22"/>
        </w:rPr>
        <w:t xml:space="preserve">: </w:t>
      </w:r>
      <w:r w:rsidR="00950564" w:rsidRPr="00E20483">
        <w:rPr>
          <w:rFonts w:ascii="GibsonLight" w:eastAsia="Arial Unicode MS" w:hAnsi="GibsonLight"/>
          <w:spacing w:val="12"/>
          <w:sz w:val="22"/>
          <w:szCs w:val="22"/>
        </w:rPr>
        <w:t>The authors discussed health equity but did not conduct a formal analysis.</w:t>
      </w:r>
    </w:p>
    <w:p w14:paraId="648498EC" w14:textId="7F8271A2" w:rsidR="000C0AA9" w:rsidRPr="004F0578" w:rsidRDefault="000C0AA9" w:rsidP="00E05E33">
      <w:pPr>
        <w:spacing w:after="120"/>
        <w:rPr>
          <w:rFonts w:ascii="GibsonLight" w:eastAsia="Arial Unicode MS" w:hAnsi="GibsonLight"/>
          <w:b/>
          <w:spacing w:val="12"/>
          <w:sz w:val="22"/>
          <w:szCs w:val="22"/>
        </w:rPr>
      </w:pPr>
    </w:p>
    <w:p w14:paraId="1434063B" w14:textId="0C2DCD5F" w:rsidR="000C0AA9" w:rsidRPr="009278C6" w:rsidRDefault="000C0AA9" w:rsidP="004B15D0">
      <w:pPr>
        <w:pStyle w:val="Heading3"/>
        <w:numPr>
          <w:ilvl w:val="0"/>
          <w:numId w:val="0"/>
        </w:numPr>
        <w:spacing w:after="120"/>
        <w:rPr>
          <w:rFonts w:ascii="GibsonLight" w:eastAsia="Arial Unicode MS" w:hAnsi="GibsonLight"/>
          <w:spacing w:val="12"/>
          <w:sz w:val="32"/>
          <w:szCs w:val="24"/>
        </w:rPr>
      </w:pPr>
      <w:bookmarkStart w:id="19" w:name="_Toc100072036"/>
      <w:r w:rsidRPr="009278C6">
        <w:rPr>
          <w:rFonts w:ascii="GibsonLight" w:eastAsia="Arial Unicode MS" w:hAnsi="GibsonLight"/>
          <w:spacing w:val="12"/>
          <w:sz w:val="32"/>
          <w:szCs w:val="24"/>
        </w:rPr>
        <w:t>Reporting Transparency and Quality</w:t>
      </w:r>
      <w:bookmarkEnd w:id="19"/>
    </w:p>
    <w:p w14:paraId="2ADFCDE4" w14:textId="2EBA4CBE" w:rsidR="000C0AA9" w:rsidRPr="00E20483" w:rsidRDefault="000C0AA9" w:rsidP="00E05E33">
      <w:pPr>
        <w:numPr>
          <w:ilvl w:val="0"/>
          <w:numId w:val="1"/>
        </w:numPr>
        <w:spacing w:after="120"/>
        <w:ind w:left="360"/>
        <w:rPr>
          <w:rFonts w:ascii="GibsonLight" w:eastAsia="Arial Unicode MS" w:hAnsi="GibsonLight"/>
          <w:spacing w:val="12"/>
          <w:sz w:val="22"/>
          <w:szCs w:val="22"/>
        </w:rPr>
      </w:pPr>
      <w:r w:rsidRPr="00E20483">
        <w:rPr>
          <w:rFonts w:ascii="GibsonLight" w:eastAsia="Arial Unicode MS" w:hAnsi="GibsonLight"/>
          <w:b/>
          <w:spacing w:val="12"/>
          <w:sz w:val="22"/>
          <w:szCs w:val="22"/>
        </w:rPr>
        <w:t>CHEERS Guideline Checklist</w:t>
      </w:r>
      <w:r w:rsidR="00950564" w:rsidRPr="00E20483">
        <w:rPr>
          <w:rFonts w:ascii="GibsonLight" w:eastAsia="Arial Unicode MS" w:hAnsi="GibsonLight"/>
          <w:b/>
          <w:spacing w:val="12"/>
          <w:sz w:val="22"/>
          <w:szCs w:val="22"/>
        </w:rPr>
        <w:t xml:space="preserve">: </w:t>
      </w:r>
      <w:r w:rsidR="00E05E33" w:rsidRPr="00E20483">
        <w:rPr>
          <w:rFonts w:ascii="GibsonLight" w:eastAsia="Arial Unicode MS" w:hAnsi="GibsonLight"/>
          <w:b/>
          <w:spacing w:val="12"/>
          <w:sz w:val="22"/>
          <w:szCs w:val="22"/>
        </w:rPr>
        <w:t>A task force through ISPOR developed The</w:t>
      </w:r>
      <w:r w:rsidR="00950564" w:rsidRPr="00E20483">
        <w:rPr>
          <w:rFonts w:ascii="GibsonLight" w:eastAsia="Arial Unicode MS" w:hAnsi="GibsonLight"/>
          <w:spacing w:val="12"/>
          <w:sz w:val="22"/>
          <w:szCs w:val="22"/>
        </w:rPr>
        <w:t xml:space="preserve"> Consolidated Health Economic Evaluation Reporting Standards (CHEERS) </w:t>
      </w:r>
      <w:r w:rsidR="00DA1E77" w:rsidRPr="00E20483">
        <w:rPr>
          <w:rFonts w:ascii="GibsonLight" w:eastAsia="Arial Unicode MS" w:hAnsi="GibsonLight"/>
          <w:spacing w:val="12"/>
          <w:sz w:val="22"/>
          <w:szCs w:val="22"/>
        </w:rPr>
        <w:t xml:space="preserve">checklist </w:t>
      </w:r>
      <w:r w:rsidR="00E05E33" w:rsidRPr="00E20483">
        <w:rPr>
          <w:rFonts w:ascii="GibsonLight" w:eastAsia="Arial Unicode MS" w:hAnsi="GibsonLight"/>
          <w:spacing w:val="12"/>
          <w:sz w:val="22"/>
          <w:szCs w:val="22"/>
        </w:rPr>
        <w:t>in order to provide recommendations that</w:t>
      </w:r>
      <w:r w:rsidR="00DA1E77" w:rsidRPr="00E20483">
        <w:rPr>
          <w:rFonts w:ascii="GibsonLight" w:eastAsia="Arial Unicode MS" w:hAnsi="GibsonLight"/>
          <w:spacing w:val="12"/>
          <w:sz w:val="22"/>
          <w:szCs w:val="22"/>
        </w:rPr>
        <w:t xml:space="preserve"> optimize the reporting </w:t>
      </w:r>
      <w:r w:rsidR="00E05E33" w:rsidRPr="00E20483">
        <w:rPr>
          <w:rFonts w:ascii="GibsonLight" w:eastAsia="Arial Unicode MS" w:hAnsi="GibsonLight"/>
          <w:spacing w:val="12"/>
          <w:sz w:val="22"/>
          <w:szCs w:val="22"/>
        </w:rPr>
        <w:t>of health economic evaluations.</w:t>
      </w:r>
    </w:p>
    <w:p w14:paraId="66EA701A" w14:textId="1B58F703" w:rsidR="000C0AA9" w:rsidRPr="00E20483" w:rsidRDefault="000C0AA9"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Yes</w:t>
      </w:r>
      <w:r w:rsidR="00950564" w:rsidRPr="00E20483">
        <w:rPr>
          <w:rFonts w:ascii="GibsonLight" w:eastAsia="Arial Unicode MS" w:hAnsi="GibsonLight"/>
          <w:spacing w:val="12"/>
          <w:sz w:val="22"/>
          <w:szCs w:val="22"/>
        </w:rPr>
        <w:t xml:space="preserve">: The authors include a completed </w:t>
      </w:r>
      <w:r w:rsidR="00DA1E77" w:rsidRPr="00E20483">
        <w:rPr>
          <w:rFonts w:ascii="GibsonLight" w:eastAsia="Arial Unicode MS" w:hAnsi="GibsonLight"/>
          <w:spacing w:val="12"/>
          <w:sz w:val="22"/>
          <w:szCs w:val="22"/>
        </w:rPr>
        <w:t xml:space="preserve">CHEERS </w:t>
      </w:r>
      <w:r w:rsidR="00950564" w:rsidRPr="00E20483">
        <w:rPr>
          <w:rFonts w:ascii="GibsonLight" w:eastAsia="Arial Unicode MS" w:hAnsi="GibsonLight"/>
          <w:spacing w:val="12"/>
          <w:sz w:val="22"/>
          <w:szCs w:val="22"/>
        </w:rPr>
        <w:t>checklist in either the main paper or supplementary materials.</w:t>
      </w:r>
    </w:p>
    <w:p w14:paraId="4ADB9233" w14:textId="12329BD0" w:rsidR="000C0AA9" w:rsidRPr="00E20483" w:rsidRDefault="000C0AA9"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w:t>
      </w:r>
      <w:r w:rsidR="00950564" w:rsidRPr="00E20483">
        <w:rPr>
          <w:rFonts w:ascii="GibsonLight" w:eastAsia="Arial Unicode MS" w:hAnsi="GibsonLight"/>
          <w:spacing w:val="12"/>
          <w:sz w:val="22"/>
          <w:szCs w:val="22"/>
        </w:rPr>
        <w:t>: The authors did not provide a completed CHEERS checklist.</w:t>
      </w:r>
    </w:p>
    <w:p w14:paraId="5F8C13C4" w14:textId="57EE1612" w:rsidR="009F13E7" w:rsidRPr="00E20483" w:rsidRDefault="009F13E7" w:rsidP="004B15D0">
      <w:pPr>
        <w:numPr>
          <w:ilvl w:val="0"/>
          <w:numId w:val="1"/>
        </w:numPr>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lastRenderedPageBreak/>
        <w:t>Overall quality of the analysis</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A subjective rating score by reviewers from 1 (lowest quality) to 7 (highest quality). Scores should be aligned with these 7 principles of economic evaluations</w:t>
      </w:r>
      <w:r w:rsidR="00034CF6" w:rsidRPr="00E20483">
        <w:rPr>
          <w:rFonts w:ascii="GibsonLight" w:eastAsia="Arial Unicode MS" w:hAnsi="GibsonLight"/>
          <w:spacing w:val="12"/>
          <w:sz w:val="22"/>
          <w:szCs w:val="22"/>
        </w:rPr>
        <w:t>:</w:t>
      </w:r>
    </w:p>
    <w:tbl>
      <w:tblPr>
        <w:tblStyle w:val="TableGrid"/>
        <w:tblW w:w="0" w:type="auto"/>
        <w:tblInd w:w="468" w:type="dxa"/>
        <w:tblLook w:val="04A0" w:firstRow="1" w:lastRow="0" w:firstColumn="1" w:lastColumn="0" w:noHBand="0" w:noVBand="1"/>
      </w:tblPr>
      <w:tblGrid>
        <w:gridCol w:w="540"/>
        <w:gridCol w:w="8820"/>
      </w:tblGrid>
      <w:tr w:rsidR="009F13E7" w:rsidRPr="00E05E33" w14:paraId="757DC95F" w14:textId="77777777" w:rsidTr="00E05E33">
        <w:trPr>
          <w:trHeight w:val="64"/>
        </w:trPr>
        <w:tc>
          <w:tcPr>
            <w:tcW w:w="540" w:type="dxa"/>
            <w:shd w:val="clear" w:color="auto" w:fill="000000" w:themeFill="text1"/>
            <w:vAlign w:val="center"/>
          </w:tcPr>
          <w:p w14:paraId="1BDF36E6" w14:textId="77777777" w:rsidR="009F13E7" w:rsidRPr="00E05E33" w:rsidRDefault="009F13E7" w:rsidP="004B15D0">
            <w:pPr>
              <w:spacing w:after="120"/>
              <w:jc w:val="center"/>
              <w:rPr>
                <w:rFonts w:ascii="GibsonLight" w:eastAsia="Arial Unicode MS" w:hAnsi="GibsonLight"/>
                <w:b/>
                <w:color w:val="FFFFFF" w:themeColor="background1"/>
                <w:spacing w:val="12"/>
                <w:sz w:val="22"/>
                <w:szCs w:val="22"/>
              </w:rPr>
            </w:pPr>
            <w:r w:rsidRPr="00E05E33">
              <w:rPr>
                <w:rFonts w:ascii="GibsonLight" w:eastAsia="Arial Unicode MS" w:hAnsi="GibsonLight"/>
                <w:b/>
                <w:color w:val="FFFFFF" w:themeColor="background1"/>
                <w:spacing w:val="12"/>
                <w:sz w:val="22"/>
                <w:szCs w:val="22"/>
              </w:rPr>
              <w:t>1</w:t>
            </w:r>
          </w:p>
        </w:tc>
        <w:tc>
          <w:tcPr>
            <w:tcW w:w="8820" w:type="dxa"/>
            <w:vAlign w:val="center"/>
          </w:tcPr>
          <w:p w14:paraId="5D49DBB0" w14:textId="77777777" w:rsidR="009F13E7" w:rsidRPr="00E05E33" w:rsidRDefault="009F13E7" w:rsidP="004B15D0">
            <w:pPr>
              <w:spacing w:after="120"/>
              <w:rPr>
                <w:rFonts w:ascii="GibsonLight" w:eastAsia="Arial Unicode MS" w:hAnsi="GibsonLight"/>
                <w:spacing w:val="12"/>
                <w:sz w:val="22"/>
                <w:szCs w:val="22"/>
              </w:rPr>
            </w:pPr>
            <w:r w:rsidRPr="00E05E33">
              <w:rPr>
                <w:rFonts w:ascii="GibsonLight" w:eastAsia="Arial Unicode MS" w:hAnsi="GibsonLight"/>
                <w:spacing w:val="12"/>
                <w:sz w:val="22"/>
                <w:szCs w:val="22"/>
              </w:rPr>
              <w:t>Methods and results were communicated clearly and transparently to enable easy interpretation</w:t>
            </w:r>
          </w:p>
        </w:tc>
      </w:tr>
      <w:tr w:rsidR="009F13E7" w:rsidRPr="00E05E33" w14:paraId="50E5212F" w14:textId="77777777" w:rsidTr="00E05E33">
        <w:trPr>
          <w:trHeight w:val="64"/>
        </w:trPr>
        <w:tc>
          <w:tcPr>
            <w:tcW w:w="540" w:type="dxa"/>
            <w:shd w:val="clear" w:color="auto" w:fill="000000" w:themeFill="text1"/>
            <w:vAlign w:val="center"/>
          </w:tcPr>
          <w:p w14:paraId="75A34AED" w14:textId="77777777" w:rsidR="009F13E7" w:rsidRPr="00E05E33" w:rsidRDefault="009F13E7" w:rsidP="004B15D0">
            <w:pPr>
              <w:spacing w:after="120"/>
              <w:jc w:val="center"/>
              <w:rPr>
                <w:rFonts w:ascii="GibsonLight" w:eastAsia="Arial Unicode MS" w:hAnsi="GibsonLight"/>
                <w:b/>
                <w:color w:val="FFFFFF" w:themeColor="background1"/>
                <w:spacing w:val="12"/>
                <w:sz w:val="22"/>
                <w:szCs w:val="22"/>
              </w:rPr>
            </w:pPr>
            <w:r w:rsidRPr="00E05E33">
              <w:rPr>
                <w:rFonts w:ascii="GibsonLight" w:eastAsia="Arial Unicode MS" w:hAnsi="GibsonLight"/>
                <w:b/>
                <w:color w:val="FFFFFF" w:themeColor="background1"/>
                <w:spacing w:val="12"/>
                <w:sz w:val="22"/>
                <w:szCs w:val="22"/>
              </w:rPr>
              <w:t>2</w:t>
            </w:r>
          </w:p>
        </w:tc>
        <w:tc>
          <w:tcPr>
            <w:tcW w:w="8820" w:type="dxa"/>
            <w:vAlign w:val="center"/>
          </w:tcPr>
          <w:p w14:paraId="147E6B40" w14:textId="77777777" w:rsidR="009F13E7" w:rsidRPr="00E05E33" w:rsidRDefault="009F13E7" w:rsidP="004B15D0">
            <w:pPr>
              <w:spacing w:after="120"/>
              <w:rPr>
                <w:rFonts w:ascii="GibsonLight" w:eastAsia="Arial Unicode MS" w:hAnsi="GibsonLight"/>
                <w:spacing w:val="12"/>
                <w:sz w:val="22"/>
                <w:szCs w:val="22"/>
              </w:rPr>
            </w:pPr>
            <w:r w:rsidRPr="00E05E33">
              <w:rPr>
                <w:rFonts w:ascii="GibsonLight" w:eastAsia="Arial Unicode MS" w:hAnsi="GibsonLight"/>
                <w:spacing w:val="12"/>
                <w:sz w:val="22"/>
                <w:szCs w:val="22"/>
              </w:rPr>
              <w:t>Time horizon was of sufficient length &amp; discount rate appropriate</w:t>
            </w:r>
          </w:p>
        </w:tc>
      </w:tr>
      <w:tr w:rsidR="009F13E7" w:rsidRPr="00E05E33" w14:paraId="1792A51F" w14:textId="77777777" w:rsidTr="00E05E33">
        <w:trPr>
          <w:trHeight w:val="89"/>
        </w:trPr>
        <w:tc>
          <w:tcPr>
            <w:tcW w:w="540" w:type="dxa"/>
            <w:shd w:val="clear" w:color="auto" w:fill="000000" w:themeFill="text1"/>
            <w:vAlign w:val="center"/>
          </w:tcPr>
          <w:p w14:paraId="0136E4FD" w14:textId="77777777" w:rsidR="009F13E7" w:rsidRPr="00E05E33" w:rsidRDefault="009F13E7" w:rsidP="004B15D0">
            <w:pPr>
              <w:spacing w:after="120"/>
              <w:jc w:val="center"/>
              <w:rPr>
                <w:rFonts w:ascii="GibsonLight" w:eastAsia="Arial Unicode MS" w:hAnsi="GibsonLight"/>
                <w:b/>
                <w:color w:val="FFFFFF" w:themeColor="background1"/>
                <w:spacing w:val="12"/>
                <w:sz w:val="22"/>
                <w:szCs w:val="22"/>
              </w:rPr>
            </w:pPr>
            <w:r w:rsidRPr="00E05E33">
              <w:rPr>
                <w:rFonts w:ascii="GibsonLight" w:eastAsia="Arial Unicode MS" w:hAnsi="GibsonLight"/>
                <w:b/>
                <w:color w:val="FFFFFF" w:themeColor="background1"/>
                <w:spacing w:val="12"/>
                <w:sz w:val="22"/>
                <w:szCs w:val="22"/>
              </w:rPr>
              <w:t>3</w:t>
            </w:r>
          </w:p>
        </w:tc>
        <w:tc>
          <w:tcPr>
            <w:tcW w:w="8820" w:type="dxa"/>
            <w:vAlign w:val="center"/>
          </w:tcPr>
          <w:p w14:paraId="31FB7A61" w14:textId="2387DF9D" w:rsidR="009F13E7" w:rsidRPr="00E05E33" w:rsidRDefault="009F13E7" w:rsidP="00E05E33">
            <w:pPr>
              <w:spacing w:after="120"/>
              <w:rPr>
                <w:rFonts w:ascii="GibsonLight" w:eastAsia="Arial Unicode MS" w:hAnsi="GibsonLight"/>
                <w:spacing w:val="12"/>
                <w:sz w:val="22"/>
                <w:szCs w:val="22"/>
              </w:rPr>
            </w:pPr>
            <w:r w:rsidRPr="00E05E33">
              <w:rPr>
                <w:rFonts w:ascii="GibsonLight" w:eastAsia="Arial Unicode MS" w:hAnsi="GibsonLight"/>
                <w:spacing w:val="12"/>
                <w:sz w:val="22"/>
                <w:szCs w:val="22"/>
              </w:rPr>
              <w:t>Detailed disaggregated cost and QALY information was provided &amp; recalculated ICER was correct (or did not differ by more than 10%)</w:t>
            </w:r>
            <w:r w:rsidR="00E33834" w:rsidRPr="00E05E33">
              <w:rPr>
                <w:rFonts w:ascii="GibsonLight" w:eastAsia="Arial Unicode MS" w:hAnsi="GibsonLight"/>
                <w:spacing w:val="12"/>
                <w:sz w:val="22"/>
                <w:szCs w:val="22"/>
              </w:rPr>
              <w:t xml:space="preserve">. </w:t>
            </w:r>
          </w:p>
        </w:tc>
      </w:tr>
      <w:tr w:rsidR="009F13E7" w:rsidRPr="00E05E33" w14:paraId="79B8280D" w14:textId="77777777" w:rsidTr="00E05E33">
        <w:trPr>
          <w:trHeight w:val="64"/>
        </w:trPr>
        <w:tc>
          <w:tcPr>
            <w:tcW w:w="540" w:type="dxa"/>
            <w:shd w:val="clear" w:color="auto" w:fill="000000" w:themeFill="text1"/>
            <w:vAlign w:val="center"/>
          </w:tcPr>
          <w:p w14:paraId="6FD558FC" w14:textId="77777777" w:rsidR="009F13E7" w:rsidRPr="00E05E33" w:rsidRDefault="009F13E7" w:rsidP="004B15D0">
            <w:pPr>
              <w:spacing w:after="120"/>
              <w:jc w:val="center"/>
              <w:rPr>
                <w:rFonts w:ascii="GibsonLight" w:eastAsia="Arial Unicode MS" w:hAnsi="GibsonLight"/>
                <w:b/>
                <w:color w:val="FFFFFF" w:themeColor="background1"/>
                <w:spacing w:val="12"/>
                <w:sz w:val="22"/>
                <w:szCs w:val="22"/>
              </w:rPr>
            </w:pPr>
            <w:r w:rsidRPr="00E05E33">
              <w:rPr>
                <w:rFonts w:ascii="GibsonLight" w:eastAsia="Arial Unicode MS" w:hAnsi="GibsonLight"/>
                <w:b/>
                <w:color w:val="FFFFFF" w:themeColor="background1"/>
                <w:spacing w:val="12"/>
                <w:sz w:val="22"/>
                <w:szCs w:val="22"/>
              </w:rPr>
              <w:t>4</w:t>
            </w:r>
          </w:p>
        </w:tc>
        <w:tc>
          <w:tcPr>
            <w:tcW w:w="8820" w:type="dxa"/>
            <w:vAlign w:val="center"/>
          </w:tcPr>
          <w:p w14:paraId="66C39F03" w14:textId="55A9B337" w:rsidR="009F13E7" w:rsidRPr="00E05E33" w:rsidRDefault="009F13E7" w:rsidP="004B15D0">
            <w:pPr>
              <w:spacing w:after="120"/>
              <w:rPr>
                <w:rFonts w:ascii="GibsonLight" w:eastAsia="Arial Unicode MS" w:hAnsi="GibsonLight"/>
                <w:spacing w:val="12"/>
                <w:sz w:val="22"/>
                <w:szCs w:val="22"/>
              </w:rPr>
            </w:pPr>
            <w:r w:rsidRPr="00E05E33">
              <w:rPr>
                <w:rFonts w:ascii="GibsonLight" w:eastAsia="Arial Unicode MS" w:hAnsi="GibsonLight"/>
                <w:spacing w:val="12"/>
                <w:sz w:val="22"/>
                <w:szCs w:val="22"/>
              </w:rPr>
              <w:t>Comprehensive characterization of uncertainty (sensitivity analyses</w:t>
            </w:r>
            <w:r w:rsidR="00E33834" w:rsidRPr="00E05E33">
              <w:rPr>
                <w:rFonts w:ascii="GibsonLight" w:eastAsia="Arial Unicode MS" w:hAnsi="GibsonLight"/>
                <w:spacing w:val="12"/>
                <w:sz w:val="22"/>
                <w:szCs w:val="22"/>
              </w:rPr>
              <w:t xml:space="preserve"> are present and comprehensive</w:t>
            </w:r>
            <w:r w:rsidRPr="00E05E33">
              <w:rPr>
                <w:rFonts w:ascii="GibsonLight" w:eastAsia="Arial Unicode MS" w:hAnsi="GibsonLight"/>
                <w:spacing w:val="12"/>
                <w:sz w:val="22"/>
                <w:szCs w:val="22"/>
              </w:rPr>
              <w:t>)</w:t>
            </w:r>
          </w:p>
        </w:tc>
      </w:tr>
      <w:tr w:rsidR="009F13E7" w:rsidRPr="00E05E33" w14:paraId="725E5C89" w14:textId="77777777" w:rsidTr="000A23CB">
        <w:trPr>
          <w:trHeight w:val="77"/>
        </w:trPr>
        <w:tc>
          <w:tcPr>
            <w:tcW w:w="540" w:type="dxa"/>
            <w:shd w:val="clear" w:color="auto" w:fill="000000" w:themeFill="text1"/>
            <w:vAlign w:val="center"/>
          </w:tcPr>
          <w:p w14:paraId="28E5857E" w14:textId="77777777" w:rsidR="009F13E7" w:rsidRPr="00E05E33" w:rsidRDefault="009F13E7" w:rsidP="004B15D0">
            <w:pPr>
              <w:spacing w:after="120"/>
              <w:jc w:val="center"/>
              <w:rPr>
                <w:rFonts w:ascii="GibsonLight" w:eastAsia="Arial Unicode MS" w:hAnsi="GibsonLight"/>
                <w:b/>
                <w:color w:val="FFFFFF" w:themeColor="background1"/>
                <w:spacing w:val="12"/>
                <w:sz w:val="22"/>
                <w:szCs w:val="22"/>
              </w:rPr>
            </w:pPr>
            <w:r w:rsidRPr="00E05E33">
              <w:rPr>
                <w:rFonts w:ascii="GibsonLight" w:eastAsia="Arial Unicode MS" w:hAnsi="GibsonLight"/>
                <w:b/>
                <w:color w:val="FFFFFF" w:themeColor="background1"/>
                <w:spacing w:val="12"/>
                <w:sz w:val="22"/>
                <w:szCs w:val="22"/>
              </w:rPr>
              <w:t>5</w:t>
            </w:r>
          </w:p>
        </w:tc>
        <w:tc>
          <w:tcPr>
            <w:tcW w:w="8820" w:type="dxa"/>
            <w:vAlign w:val="center"/>
          </w:tcPr>
          <w:p w14:paraId="083EF58A" w14:textId="77777777" w:rsidR="009F13E7" w:rsidRPr="00E05E33" w:rsidRDefault="009F13E7" w:rsidP="004B15D0">
            <w:pPr>
              <w:spacing w:after="120"/>
              <w:rPr>
                <w:rFonts w:ascii="GibsonLight" w:eastAsia="Arial Unicode MS" w:hAnsi="GibsonLight"/>
                <w:spacing w:val="12"/>
                <w:sz w:val="22"/>
                <w:szCs w:val="22"/>
              </w:rPr>
            </w:pPr>
            <w:r w:rsidRPr="00E05E33">
              <w:rPr>
                <w:rFonts w:ascii="GibsonLight" w:eastAsia="Arial Unicode MS" w:hAnsi="GibsonLight"/>
                <w:spacing w:val="12"/>
                <w:sz w:val="22"/>
                <w:szCs w:val="22"/>
              </w:rPr>
              <w:t>Explicit reporting of utility weights (includes utility weight value and estimation method)</w:t>
            </w:r>
          </w:p>
        </w:tc>
      </w:tr>
      <w:tr w:rsidR="009F13E7" w:rsidRPr="00E05E33" w14:paraId="5A808818" w14:textId="77777777" w:rsidTr="000A23CB">
        <w:trPr>
          <w:trHeight w:val="77"/>
        </w:trPr>
        <w:tc>
          <w:tcPr>
            <w:tcW w:w="540" w:type="dxa"/>
            <w:shd w:val="clear" w:color="auto" w:fill="000000" w:themeFill="text1"/>
            <w:vAlign w:val="center"/>
          </w:tcPr>
          <w:p w14:paraId="2910F6D2" w14:textId="77777777" w:rsidR="009F13E7" w:rsidRPr="00E05E33" w:rsidRDefault="009F13E7" w:rsidP="004B15D0">
            <w:pPr>
              <w:spacing w:after="120"/>
              <w:jc w:val="center"/>
              <w:rPr>
                <w:rFonts w:ascii="GibsonLight" w:eastAsia="Arial Unicode MS" w:hAnsi="GibsonLight"/>
                <w:b/>
                <w:color w:val="FFFFFF" w:themeColor="background1"/>
                <w:spacing w:val="12"/>
                <w:sz w:val="22"/>
                <w:szCs w:val="22"/>
              </w:rPr>
            </w:pPr>
            <w:r w:rsidRPr="00E05E33">
              <w:rPr>
                <w:rFonts w:ascii="GibsonLight" w:eastAsia="Arial Unicode MS" w:hAnsi="GibsonLight"/>
                <w:b/>
                <w:color w:val="FFFFFF" w:themeColor="background1"/>
                <w:spacing w:val="12"/>
                <w:sz w:val="22"/>
                <w:szCs w:val="22"/>
              </w:rPr>
              <w:t>6</w:t>
            </w:r>
          </w:p>
        </w:tc>
        <w:tc>
          <w:tcPr>
            <w:tcW w:w="8820" w:type="dxa"/>
            <w:vAlign w:val="center"/>
          </w:tcPr>
          <w:p w14:paraId="0AD9A44B" w14:textId="77777777" w:rsidR="009F13E7" w:rsidRPr="00E05E33" w:rsidRDefault="009F13E7" w:rsidP="004B15D0">
            <w:pPr>
              <w:spacing w:after="120"/>
              <w:rPr>
                <w:rFonts w:ascii="GibsonLight" w:eastAsia="Arial Unicode MS" w:hAnsi="GibsonLight"/>
                <w:spacing w:val="12"/>
                <w:sz w:val="22"/>
                <w:szCs w:val="22"/>
              </w:rPr>
            </w:pPr>
            <w:r w:rsidRPr="00E05E33">
              <w:rPr>
                <w:rFonts w:ascii="GibsonLight" w:eastAsia="Arial Unicode MS" w:hAnsi="GibsonLight"/>
                <w:spacing w:val="12"/>
                <w:sz w:val="22"/>
                <w:szCs w:val="22"/>
              </w:rPr>
              <w:t>Subgroup analysis performed</w:t>
            </w:r>
          </w:p>
        </w:tc>
      </w:tr>
      <w:tr w:rsidR="009F13E7" w:rsidRPr="00E05E33" w14:paraId="27457457" w14:textId="77777777" w:rsidTr="000A23CB">
        <w:trPr>
          <w:trHeight w:val="77"/>
        </w:trPr>
        <w:tc>
          <w:tcPr>
            <w:tcW w:w="540" w:type="dxa"/>
            <w:shd w:val="clear" w:color="auto" w:fill="000000" w:themeFill="text1"/>
            <w:vAlign w:val="center"/>
          </w:tcPr>
          <w:p w14:paraId="0FF1D910" w14:textId="77777777" w:rsidR="009F13E7" w:rsidRPr="00E05E33" w:rsidRDefault="009F13E7" w:rsidP="004B15D0">
            <w:pPr>
              <w:spacing w:after="120"/>
              <w:jc w:val="center"/>
              <w:rPr>
                <w:rFonts w:ascii="GibsonLight" w:eastAsia="Arial Unicode MS" w:hAnsi="GibsonLight"/>
                <w:b/>
                <w:color w:val="FFFFFF" w:themeColor="background1"/>
                <w:spacing w:val="12"/>
                <w:sz w:val="22"/>
                <w:szCs w:val="22"/>
              </w:rPr>
            </w:pPr>
            <w:r w:rsidRPr="00E05E33">
              <w:rPr>
                <w:rFonts w:ascii="GibsonLight" w:eastAsia="Arial Unicode MS" w:hAnsi="GibsonLight"/>
                <w:b/>
                <w:color w:val="FFFFFF" w:themeColor="background1"/>
                <w:spacing w:val="12"/>
                <w:sz w:val="22"/>
                <w:szCs w:val="22"/>
              </w:rPr>
              <w:t>7</w:t>
            </w:r>
          </w:p>
        </w:tc>
        <w:tc>
          <w:tcPr>
            <w:tcW w:w="8820" w:type="dxa"/>
            <w:vAlign w:val="center"/>
          </w:tcPr>
          <w:p w14:paraId="4C20F435" w14:textId="77777777" w:rsidR="009F13E7" w:rsidRPr="00E05E33" w:rsidRDefault="009F13E7" w:rsidP="004B15D0">
            <w:pPr>
              <w:spacing w:after="120"/>
              <w:rPr>
                <w:rFonts w:ascii="GibsonLight" w:eastAsia="Arial Unicode MS" w:hAnsi="GibsonLight"/>
                <w:spacing w:val="12"/>
                <w:sz w:val="22"/>
                <w:szCs w:val="22"/>
              </w:rPr>
            </w:pPr>
            <w:r w:rsidRPr="00E05E33">
              <w:rPr>
                <w:rFonts w:ascii="GibsonLight" w:eastAsia="Arial Unicode MS" w:hAnsi="GibsonLight"/>
                <w:spacing w:val="12"/>
                <w:sz w:val="22"/>
                <w:szCs w:val="22"/>
              </w:rPr>
              <w:t>Non-health effects and/or spillover effects were quantified</w:t>
            </w:r>
          </w:p>
        </w:tc>
      </w:tr>
    </w:tbl>
    <w:p w14:paraId="6E851391" w14:textId="77777777" w:rsidR="00813578" w:rsidRPr="00E61327" w:rsidRDefault="00813578" w:rsidP="004B15D0">
      <w:pPr>
        <w:spacing w:after="120"/>
        <w:ind w:left="360"/>
        <w:rPr>
          <w:rFonts w:ascii="GibsonLight" w:eastAsia="Arial Unicode MS" w:hAnsi="GibsonLight"/>
          <w:spacing w:val="12"/>
          <w:sz w:val="4"/>
          <w:szCs w:val="22"/>
        </w:rPr>
      </w:pPr>
    </w:p>
    <w:p w14:paraId="3E674A6E" w14:textId="6DB8AE22" w:rsidR="009F13E7" w:rsidRPr="00E20483" w:rsidRDefault="009F13E7" w:rsidP="004C064C">
      <w:pPr>
        <w:numPr>
          <w:ilvl w:val="0"/>
          <w:numId w:val="1"/>
        </w:numPr>
        <w:spacing w:after="120"/>
        <w:ind w:left="360"/>
        <w:rPr>
          <w:rFonts w:ascii="GibsonLight" w:eastAsia="Arial Unicode MS" w:hAnsi="GibsonLight"/>
          <w:spacing w:val="12"/>
          <w:szCs w:val="22"/>
        </w:rPr>
      </w:pPr>
      <w:r w:rsidRPr="00E20483">
        <w:rPr>
          <w:rFonts w:ascii="GibsonLight" w:eastAsia="Arial Unicode MS" w:hAnsi="GibsonLight"/>
          <w:b/>
          <w:spacing w:val="12"/>
          <w:sz w:val="22"/>
          <w:szCs w:val="22"/>
        </w:rPr>
        <w:t>Comments</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Any general, notable comments regarding the methods of analysis employed, or information </w:t>
      </w:r>
      <w:r w:rsidR="00E05E33" w:rsidRPr="00E20483">
        <w:rPr>
          <w:rFonts w:ascii="GibsonLight" w:eastAsia="Arial Unicode MS" w:hAnsi="GibsonLight"/>
          <w:spacing w:val="12"/>
          <w:sz w:val="22"/>
          <w:szCs w:val="22"/>
        </w:rPr>
        <w:t xml:space="preserve">that was not </w:t>
      </w:r>
      <w:r w:rsidRPr="00E20483">
        <w:rPr>
          <w:rFonts w:ascii="GibsonLight" w:eastAsia="Arial Unicode MS" w:hAnsi="GibsonLight"/>
          <w:spacing w:val="12"/>
          <w:sz w:val="22"/>
          <w:szCs w:val="22"/>
        </w:rPr>
        <w:t>captured elsewhere</w:t>
      </w:r>
      <w:r w:rsidR="00E05E33" w:rsidRPr="00E20483">
        <w:rPr>
          <w:rFonts w:ascii="GibsonLight" w:eastAsia="Arial Unicode MS" w:hAnsi="GibsonLight"/>
          <w:spacing w:val="12"/>
          <w:sz w:val="22"/>
          <w:szCs w:val="22"/>
        </w:rPr>
        <w:t>.</w:t>
      </w:r>
    </w:p>
    <w:p w14:paraId="36B02E6F" w14:textId="5806ED12" w:rsidR="009F13E7" w:rsidRPr="00415E50" w:rsidRDefault="00181A79" w:rsidP="004B15D0">
      <w:pPr>
        <w:pStyle w:val="Heading2"/>
        <w:numPr>
          <w:ilvl w:val="0"/>
          <w:numId w:val="0"/>
        </w:numPr>
        <w:spacing w:after="120"/>
        <w:jc w:val="left"/>
        <w:rPr>
          <w:rFonts w:ascii="Gibson" w:eastAsia="Arial Unicode MS" w:hAnsi="Gibson" w:cs="Times New Roman"/>
          <w:spacing w:val="12"/>
          <w:u w:val="single"/>
        </w:rPr>
      </w:pPr>
      <w:r w:rsidRPr="004F0578">
        <w:rPr>
          <w:rFonts w:ascii="GibsonLight" w:eastAsia="Arial Unicode MS" w:hAnsi="GibsonLight" w:cs="Times New Roman"/>
          <w:spacing w:val="12"/>
        </w:rPr>
        <w:br w:type="page"/>
      </w:r>
      <w:bookmarkStart w:id="20" w:name="_Toc100072037"/>
      <w:r w:rsidR="009F13E7" w:rsidRPr="00415E50">
        <w:rPr>
          <w:rFonts w:ascii="Gibson" w:eastAsia="Arial Unicode MS" w:hAnsi="Gibson" w:cs="Times New Roman"/>
          <w:spacing w:val="12"/>
          <w:u w:val="single"/>
        </w:rPr>
        <w:lastRenderedPageBreak/>
        <w:t>Ratio</w:t>
      </w:r>
      <w:r w:rsidRPr="00415E50">
        <w:rPr>
          <w:rFonts w:ascii="Gibson" w:eastAsia="Arial Unicode MS" w:hAnsi="Gibson" w:cs="Times New Roman"/>
          <w:spacing w:val="12"/>
          <w:u w:val="single"/>
        </w:rPr>
        <w:t>s</w:t>
      </w:r>
      <w:r w:rsidR="009F13E7" w:rsidRPr="00415E50">
        <w:rPr>
          <w:rFonts w:ascii="Gibson" w:eastAsia="Arial Unicode MS" w:hAnsi="Gibson" w:cs="Times New Roman"/>
          <w:spacing w:val="12"/>
          <w:u w:val="single"/>
        </w:rPr>
        <w:t xml:space="preserve"> </w:t>
      </w:r>
      <w:r w:rsidR="00415E50">
        <w:rPr>
          <w:rFonts w:ascii="Gibson" w:eastAsia="Arial Unicode MS" w:hAnsi="Gibson" w:cs="Times New Roman"/>
          <w:spacing w:val="12"/>
          <w:u w:val="single"/>
        </w:rPr>
        <w:t>Form</w:t>
      </w:r>
      <w:bookmarkEnd w:id="20"/>
    </w:p>
    <w:p w14:paraId="40C1965C" w14:textId="266548C2" w:rsidR="00EB3A1F" w:rsidRPr="00E20483" w:rsidRDefault="003D5962" w:rsidP="00E20483">
      <w:pPr>
        <w:pStyle w:val="Heading3"/>
        <w:numPr>
          <w:ilvl w:val="0"/>
          <w:numId w:val="0"/>
        </w:numPr>
        <w:spacing w:after="120"/>
        <w:rPr>
          <w:rFonts w:ascii="GibsonLight" w:eastAsia="Arial Unicode MS" w:hAnsi="GibsonLight"/>
          <w:spacing w:val="12"/>
          <w:sz w:val="32"/>
          <w:szCs w:val="24"/>
        </w:rPr>
      </w:pPr>
      <w:bookmarkStart w:id="21" w:name="_Toc100072038"/>
      <w:r w:rsidRPr="009278C6">
        <w:rPr>
          <w:rFonts w:ascii="GibsonLight" w:eastAsia="Arial Unicode MS" w:hAnsi="GibsonLight"/>
          <w:spacing w:val="12"/>
          <w:sz w:val="32"/>
          <w:szCs w:val="24"/>
        </w:rPr>
        <w:t>Target Population</w:t>
      </w:r>
      <w:bookmarkEnd w:id="21"/>
    </w:p>
    <w:p w14:paraId="43221E54" w14:textId="20AC8098" w:rsidR="009C470B" w:rsidRPr="00E20483" w:rsidRDefault="00EB3A1F" w:rsidP="004B15D0">
      <w:pPr>
        <w:pStyle w:val="ListParagraph"/>
        <w:numPr>
          <w:ilvl w:val="0"/>
          <w:numId w:val="14"/>
        </w:numPr>
        <w:spacing w:after="120"/>
        <w:ind w:left="360"/>
        <w:rPr>
          <w:rFonts w:ascii="GibsonLight" w:eastAsia="Arial Unicode MS" w:hAnsi="GibsonLight"/>
          <w:spacing w:val="12"/>
          <w:sz w:val="22"/>
          <w:szCs w:val="24"/>
        </w:rPr>
      </w:pPr>
      <w:r w:rsidRPr="00E20483">
        <w:rPr>
          <w:rFonts w:ascii="GibsonLight" w:eastAsia="Arial Unicode MS" w:hAnsi="GibsonLight"/>
          <w:b/>
          <w:spacing w:val="12"/>
          <w:sz w:val="22"/>
          <w:szCs w:val="24"/>
        </w:rPr>
        <w:t>Disease classification</w:t>
      </w:r>
      <w:r w:rsidR="007174B9" w:rsidRPr="00E20483">
        <w:rPr>
          <w:rFonts w:ascii="GibsonLight" w:eastAsia="Arial Unicode MS" w:hAnsi="GibsonLight"/>
          <w:spacing w:val="12"/>
          <w:sz w:val="22"/>
          <w:szCs w:val="24"/>
        </w:rPr>
        <w:t>:</w:t>
      </w:r>
      <w:r w:rsidR="009F13E7" w:rsidRPr="00E20483">
        <w:rPr>
          <w:rFonts w:ascii="GibsonLight" w:eastAsia="Arial Unicode MS" w:hAnsi="GibsonLight"/>
          <w:spacing w:val="12"/>
          <w:sz w:val="22"/>
          <w:szCs w:val="24"/>
        </w:rPr>
        <w:t xml:space="preserve"> Health status of the target population</w:t>
      </w:r>
    </w:p>
    <w:p w14:paraId="21631D55" w14:textId="77777777" w:rsidR="00EB3A1F" w:rsidRPr="00E20483" w:rsidRDefault="00EB3A1F" w:rsidP="00EB3A1F">
      <w:pPr>
        <w:tabs>
          <w:tab w:val="left" w:pos="630"/>
        </w:tabs>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Primary Disease</w:t>
      </w:r>
      <w:r w:rsidRPr="00E20483">
        <w:rPr>
          <w:rFonts w:ascii="GibsonLight" w:eastAsia="Arial Unicode MS" w:hAnsi="GibsonLight"/>
          <w:spacing w:val="12"/>
          <w:sz w:val="22"/>
          <w:szCs w:val="22"/>
        </w:rPr>
        <w:t>: The primary disease or condition the intervention is targeting.</w:t>
      </w:r>
    </w:p>
    <w:p w14:paraId="78AF5F9B" w14:textId="7268FA07" w:rsidR="00EB3A1F" w:rsidRPr="00E20483" w:rsidRDefault="009C470B" w:rsidP="00EB3A1F">
      <w:pPr>
        <w:pStyle w:val="ListParagraph"/>
        <w:numPr>
          <w:ilvl w:val="0"/>
          <w:numId w:val="37"/>
        </w:numPr>
        <w:tabs>
          <w:tab w:val="left" w:pos="630"/>
        </w:tabs>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4"/>
        </w:rPr>
        <w:t xml:space="preserve">The </w:t>
      </w:r>
      <w:r w:rsidR="00EB3A1F" w:rsidRPr="00E20483">
        <w:rPr>
          <w:rFonts w:ascii="GibsonLight" w:eastAsia="Arial Unicode MS" w:hAnsi="GibsonLight"/>
          <w:b/>
          <w:spacing w:val="12"/>
          <w:sz w:val="22"/>
          <w:szCs w:val="22"/>
        </w:rPr>
        <w:t>ICD Chapter and Sub-Chapter</w:t>
      </w:r>
    </w:p>
    <w:p w14:paraId="7AF3B651" w14:textId="77777777" w:rsidR="00EB3A1F" w:rsidRPr="00E20483" w:rsidRDefault="00EB3A1F" w:rsidP="00EB3A1F">
      <w:pPr>
        <w:pStyle w:val="ListParagraph"/>
        <w:numPr>
          <w:ilvl w:val="0"/>
          <w:numId w:val="37"/>
        </w:numPr>
        <w:tabs>
          <w:tab w:val="left" w:pos="630"/>
        </w:tabs>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GBD Tiers</w:t>
      </w:r>
    </w:p>
    <w:p w14:paraId="72A628C0" w14:textId="77777777" w:rsidR="00EB3A1F" w:rsidRPr="00E20483" w:rsidRDefault="00EB3A1F" w:rsidP="00EB3A1F">
      <w:pPr>
        <w:pStyle w:val="ListParagraph"/>
        <w:numPr>
          <w:ilvl w:val="0"/>
          <w:numId w:val="37"/>
        </w:numPr>
        <w:tabs>
          <w:tab w:val="left" w:pos="630"/>
        </w:tabs>
        <w:spacing w:after="120"/>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Disease Description</w:t>
      </w:r>
      <w:r w:rsidRPr="00E20483">
        <w:rPr>
          <w:rFonts w:ascii="GibsonLight" w:eastAsia="Arial Unicode MS" w:hAnsi="GibsonLight"/>
          <w:spacing w:val="12"/>
          <w:sz w:val="22"/>
          <w:szCs w:val="22"/>
        </w:rPr>
        <w:t>: Concise disease name.</w:t>
      </w:r>
    </w:p>
    <w:p w14:paraId="41B69243" w14:textId="1B29BE0C" w:rsidR="00EB3A1F" w:rsidRPr="00E20483" w:rsidRDefault="00EB3A1F" w:rsidP="00EB3A1F">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2"/>
        </w:rPr>
        <w:t>Secondary Disease(s)</w:t>
      </w:r>
      <w:r w:rsidRPr="00E20483">
        <w:rPr>
          <w:rFonts w:ascii="GibsonLight" w:eastAsia="Arial Unicode MS" w:hAnsi="GibsonLight"/>
          <w:spacing w:val="12"/>
          <w:sz w:val="22"/>
          <w:szCs w:val="22"/>
        </w:rPr>
        <w:t>: Other diseases or conditions the target population has been diagnosed.</w:t>
      </w:r>
    </w:p>
    <w:p w14:paraId="7A626D33" w14:textId="16038DC9" w:rsidR="009C470B" w:rsidRPr="00E20483" w:rsidRDefault="00EB3A1F" w:rsidP="00EB3A1F">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Disease</w:t>
      </w:r>
      <w:r w:rsidR="009C470B" w:rsidRPr="00E20483">
        <w:rPr>
          <w:rFonts w:ascii="GibsonLight" w:eastAsia="Arial Unicode MS" w:hAnsi="GibsonLight"/>
          <w:b/>
          <w:spacing w:val="12"/>
          <w:sz w:val="22"/>
          <w:szCs w:val="24"/>
        </w:rPr>
        <w:t xml:space="preserve"> was not specified</w:t>
      </w:r>
      <w:r w:rsidR="007174B9" w:rsidRPr="00E20483">
        <w:rPr>
          <w:rFonts w:ascii="GibsonLight" w:eastAsia="Arial Unicode MS" w:hAnsi="GibsonLight"/>
          <w:spacing w:val="12"/>
          <w:sz w:val="22"/>
          <w:szCs w:val="24"/>
        </w:rPr>
        <w:t>:</w:t>
      </w:r>
      <w:r w:rsidR="00034CF6" w:rsidRPr="00E20483">
        <w:rPr>
          <w:rFonts w:ascii="GibsonLight" w:eastAsia="Arial Unicode MS" w:hAnsi="GibsonLight"/>
          <w:spacing w:val="12"/>
          <w:sz w:val="22"/>
          <w:szCs w:val="24"/>
        </w:rPr>
        <w:t xml:space="preserve"> This </w:t>
      </w:r>
      <w:r w:rsidR="009C470B" w:rsidRPr="00E20483">
        <w:rPr>
          <w:rFonts w:ascii="GibsonLight" w:eastAsia="Arial Unicode MS" w:hAnsi="GibsonLight"/>
          <w:spacing w:val="12"/>
          <w:sz w:val="22"/>
          <w:szCs w:val="24"/>
        </w:rPr>
        <w:t>includes generally healthy population</w:t>
      </w:r>
      <w:r w:rsidR="00DA1E77" w:rsidRPr="00E20483">
        <w:rPr>
          <w:rFonts w:ascii="GibsonLight" w:eastAsia="Arial Unicode MS" w:hAnsi="GibsonLight"/>
          <w:spacing w:val="12"/>
          <w:sz w:val="22"/>
          <w:szCs w:val="24"/>
        </w:rPr>
        <w:t>.</w:t>
      </w:r>
    </w:p>
    <w:p w14:paraId="60F3E73A" w14:textId="6D9320A3" w:rsidR="00DA1E77" w:rsidRPr="00E20483" w:rsidRDefault="009C470B" w:rsidP="004B15D0">
      <w:pPr>
        <w:pStyle w:val="ListParagraph"/>
        <w:numPr>
          <w:ilvl w:val="0"/>
          <w:numId w:val="14"/>
        </w:numPr>
        <w:spacing w:after="120"/>
        <w:ind w:left="360"/>
        <w:rPr>
          <w:rFonts w:ascii="GibsonLight" w:eastAsia="Arial Unicode MS" w:hAnsi="GibsonLight"/>
          <w:spacing w:val="12"/>
          <w:sz w:val="22"/>
          <w:szCs w:val="24"/>
        </w:rPr>
      </w:pPr>
      <w:r w:rsidRPr="00E20483">
        <w:rPr>
          <w:rFonts w:ascii="GibsonLight" w:eastAsia="Arial Unicode MS" w:hAnsi="GibsonLight"/>
          <w:b/>
          <w:spacing w:val="12"/>
          <w:sz w:val="22"/>
          <w:szCs w:val="24"/>
        </w:rPr>
        <w:t>Sex</w:t>
      </w:r>
      <w:r w:rsidR="007174B9" w:rsidRPr="00E20483">
        <w:rPr>
          <w:rFonts w:ascii="GibsonLight" w:eastAsia="Arial Unicode MS" w:hAnsi="GibsonLight"/>
          <w:spacing w:val="12"/>
          <w:sz w:val="22"/>
          <w:szCs w:val="24"/>
        </w:rPr>
        <w:t>:</w:t>
      </w:r>
      <w:r w:rsidR="009F13E7" w:rsidRPr="00E20483">
        <w:rPr>
          <w:rFonts w:ascii="GibsonLight" w:eastAsia="Arial Unicode MS" w:hAnsi="GibsonLight"/>
          <w:spacing w:val="12"/>
          <w:sz w:val="22"/>
          <w:szCs w:val="24"/>
        </w:rPr>
        <w:t xml:space="preserve"> </w:t>
      </w:r>
      <w:r w:rsidR="00DA1E77" w:rsidRPr="00E20483">
        <w:rPr>
          <w:rFonts w:ascii="GibsonLight" w:eastAsia="Arial Unicode MS" w:hAnsi="GibsonLight"/>
          <w:spacing w:val="12"/>
          <w:sz w:val="22"/>
          <w:szCs w:val="24"/>
        </w:rPr>
        <w:t xml:space="preserve">Sex of the </w:t>
      </w:r>
      <w:r w:rsidR="00F7296A" w:rsidRPr="00E20483">
        <w:rPr>
          <w:rFonts w:ascii="GibsonLight" w:eastAsia="Arial Unicode MS" w:hAnsi="GibsonLight"/>
          <w:spacing w:val="12"/>
          <w:sz w:val="22"/>
          <w:szCs w:val="24"/>
        </w:rPr>
        <w:t xml:space="preserve">target </w:t>
      </w:r>
      <w:r w:rsidR="00DA1E77" w:rsidRPr="00E20483">
        <w:rPr>
          <w:rFonts w:ascii="GibsonLight" w:eastAsia="Arial Unicode MS" w:hAnsi="GibsonLight"/>
          <w:spacing w:val="12"/>
          <w:sz w:val="22"/>
          <w:szCs w:val="24"/>
        </w:rPr>
        <w:t>popu</w:t>
      </w:r>
      <w:r w:rsidR="00034CF6" w:rsidRPr="00E20483">
        <w:rPr>
          <w:rFonts w:ascii="GibsonLight" w:eastAsia="Arial Unicode MS" w:hAnsi="GibsonLight"/>
          <w:spacing w:val="12"/>
          <w:sz w:val="22"/>
          <w:szCs w:val="24"/>
        </w:rPr>
        <w:t>lation.</w:t>
      </w:r>
    </w:p>
    <w:p w14:paraId="1C369EF1" w14:textId="752A8824" w:rsidR="00F7296A" w:rsidRPr="00E20483" w:rsidRDefault="00634DF1" w:rsidP="004B15D0">
      <w:pPr>
        <w:pStyle w:val="ListParagraph"/>
        <w:numPr>
          <w:ilvl w:val="0"/>
          <w:numId w:val="14"/>
        </w:numPr>
        <w:spacing w:after="120"/>
        <w:ind w:left="360"/>
        <w:rPr>
          <w:rFonts w:ascii="GibsonLight" w:eastAsia="Arial Unicode MS" w:hAnsi="GibsonLight"/>
          <w:spacing w:val="12"/>
          <w:sz w:val="22"/>
          <w:szCs w:val="24"/>
        </w:rPr>
      </w:pPr>
      <w:r w:rsidRPr="00E20483">
        <w:rPr>
          <w:rFonts w:ascii="GibsonLight" w:eastAsia="Arial Unicode MS" w:hAnsi="GibsonLight"/>
          <w:b/>
          <w:spacing w:val="12"/>
          <w:sz w:val="22"/>
          <w:szCs w:val="24"/>
        </w:rPr>
        <w:t>Age</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w:t>
      </w:r>
      <w:r w:rsidR="00034CF6" w:rsidRPr="00E20483">
        <w:rPr>
          <w:rFonts w:ascii="GibsonLight" w:eastAsia="Arial Unicode MS" w:hAnsi="GibsonLight"/>
          <w:spacing w:val="12"/>
          <w:sz w:val="22"/>
          <w:szCs w:val="24"/>
        </w:rPr>
        <w:t>Age of the target population.</w:t>
      </w:r>
    </w:p>
    <w:p w14:paraId="7D290BB4" w14:textId="29246577" w:rsidR="00DA1E77" w:rsidRPr="00E20483" w:rsidRDefault="00DA1E77" w:rsidP="00EB3A1F">
      <w:pPr>
        <w:ind w:left="720"/>
        <w:rPr>
          <w:rFonts w:ascii="GibsonLight" w:eastAsia="Arial Unicode MS" w:hAnsi="GibsonLight"/>
          <w:b/>
          <w:spacing w:val="12"/>
          <w:sz w:val="22"/>
          <w:szCs w:val="24"/>
        </w:rPr>
      </w:pPr>
      <w:r w:rsidRPr="00E20483">
        <w:rPr>
          <w:rFonts w:ascii="GibsonLight" w:eastAsia="Arial Unicode MS" w:hAnsi="GibsonLight"/>
          <w:b/>
          <w:spacing w:val="12"/>
          <w:sz w:val="22"/>
          <w:szCs w:val="24"/>
        </w:rPr>
        <w:t>At least</w:t>
      </w:r>
      <w:r w:rsidR="00F7296A" w:rsidRPr="00E20483">
        <w:rPr>
          <w:rFonts w:ascii="GibsonLight" w:eastAsia="Arial Unicode MS" w:hAnsi="GibsonLight"/>
          <w:spacing w:val="12"/>
          <w:sz w:val="22"/>
          <w:szCs w:val="24"/>
        </w:rPr>
        <w:t xml:space="preserve">: Target population is </w:t>
      </w:r>
      <w:r w:rsidR="00F7296A" w:rsidRPr="00E20483">
        <w:rPr>
          <w:rFonts w:ascii="GibsonLight" w:eastAsia="Arial Unicode MS" w:hAnsi="GibsonLight"/>
          <w:spacing w:val="12"/>
          <w:sz w:val="22"/>
          <w:szCs w:val="24"/>
          <w:u w:val="single"/>
        </w:rPr>
        <w:t>greater than</w:t>
      </w:r>
      <w:r w:rsidR="00F7296A" w:rsidRPr="00E20483">
        <w:rPr>
          <w:rFonts w:ascii="GibsonLight" w:eastAsia="Arial Unicode MS" w:hAnsi="GibsonLight"/>
          <w:spacing w:val="12"/>
          <w:sz w:val="22"/>
          <w:szCs w:val="24"/>
        </w:rPr>
        <w:t xml:space="preserve"> or equal to the age value. If no specific age was given, but reader can deduce that it was an adult population, specify the age to be at least 18 years.</w:t>
      </w:r>
    </w:p>
    <w:p w14:paraId="2AB30389" w14:textId="030ECE3B" w:rsidR="00DA1E77" w:rsidRPr="00E20483" w:rsidRDefault="00DA1E77" w:rsidP="00EB3A1F">
      <w:pPr>
        <w:ind w:left="720"/>
        <w:rPr>
          <w:rFonts w:ascii="GibsonLight" w:eastAsia="Arial Unicode MS" w:hAnsi="GibsonLight"/>
          <w:b/>
          <w:spacing w:val="12"/>
          <w:sz w:val="22"/>
          <w:szCs w:val="24"/>
        </w:rPr>
      </w:pPr>
      <w:r w:rsidRPr="00E20483">
        <w:rPr>
          <w:rFonts w:ascii="GibsonLight" w:eastAsia="Arial Unicode MS" w:hAnsi="GibsonLight"/>
          <w:b/>
          <w:spacing w:val="12"/>
          <w:sz w:val="22"/>
          <w:szCs w:val="24"/>
        </w:rPr>
        <w:t>No more than</w:t>
      </w:r>
      <w:r w:rsidR="00F7296A" w:rsidRPr="00E20483">
        <w:rPr>
          <w:rFonts w:ascii="GibsonLight" w:eastAsia="Arial Unicode MS" w:hAnsi="GibsonLight"/>
          <w:spacing w:val="12"/>
          <w:sz w:val="22"/>
          <w:szCs w:val="24"/>
        </w:rPr>
        <w:t xml:space="preserve">: Target population is </w:t>
      </w:r>
      <w:r w:rsidR="00F7296A" w:rsidRPr="00E20483">
        <w:rPr>
          <w:rFonts w:ascii="GibsonLight" w:eastAsia="Arial Unicode MS" w:hAnsi="GibsonLight"/>
          <w:spacing w:val="12"/>
          <w:sz w:val="22"/>
          <w:szCs w:val="24"/>
          <w:u w:val="single"/>
        </w:rPr>
        <w:t>less than</w:t>
      </w:r>
      <w:r w:rsidR="00F7296A" w:rsidRPr="00E20483">
        <w:rPr>
          <w:rFonts w:ascii="GibsonLight" w:eastAsia="Arial Unicode MS" w:hAnsi="GibsonLight"/>
          <w:spacing w:val="12"/>
          <w:sz w:val="22"/>
          <w:szCs w:val="24"/>
        </w:rPr>
        <w:t xml:space="preserve"> or equal to the age value. If no specific age was given, but reader can deduce that it was a pediatric population, specify the age to be no more than 17 years. If the target population was infants, specify the age to be no more than 1 year. If the target population was newborns, specify the age to be no more than 2 months. </w:t>
      </w:r>
    </w:p>
    <w:p w14:paraId="53753820" w14:textId="54C17F87" w:rsidR="00DA1E77" w:rsidRPr="00E20483" w:rsidRDefault="00DA1E77" w:rsidP="00EB3A1F">
      <w:pPr>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Range</w:t>
      </w:r>
      <w:r w:rsidR="00F7296A" w:rsidRPr="00E20483">
        <w:rPr>
          <w:rFonts w:ascii="GibsonLight" w:eastAsia="Arial Unicode MS" w:hAnsi="GibsonLight"/>
          <w:spacing w:val="12"/>
          <w:sz w:val="22"/>
          <w:szCs w:val="24"/>
        </w:rPr>
        <w:t>: Target population was a given range. Specify both minimum and maximum age values in the text fields that appear.</w:t>
      </w:r>
    </w:p>
    <w:p w14:paraId="687D8EDE" w14:textId="118E0CDF" w:rsidR="00DA1E77" w:rsidRPr="00E20483" w:rsidRDefault="00DA1E77" w:rsidP="00EB3A1F">
      <w:pPr>
        <w:spacing w:after="120"/>
        <w:ind w:left="720"/>
        <w:rPr>
          <w:rFonts w:ascii="GibsonLight" w:eastAsia="Arial Unicode MS" w:hAnsi="GibsonLight"/>
          <w:b/>
          <w:spacing w:val="12"/>
          <w:sz w:val="22"/>
          <w:szCs w:val="24"/>
        </w:rPr>
      </w:pPr>
      <w:r w:rsidRPr="00E20483">
        <w:rPr>
          <w:rFonts w:ascii="GibsonLight" w:eastAsia="Arial Unicode MS" w:hAnsi="GibsonLight"/>
          <w:b/>
          <w:spacing w:val="12"/>
          <w:sz w:val="22"/>
          <w:szCs w:val="24"/>
        </w:rPr>
        <w:t>Single age</w:t>
      </w:r>
      <w:r w:rsidR="00F7296A" w:rsidRPr="00E20483">
        <w:rPr>
          <w:rFonts w:ascii="GibsonLight" w:eastAsia="Arial Unicode MS" w:hAnsi="GibsonLight"/>
          <w:spacing w:val="12"/>
          <w:sz w:val="22"/>
          <w:szCs w:val="24"/>
        </w:rPr>
        <w:t>: The target population is a singular age value.</w:t>
      </w:r>
    </w:p>
    <w:p w14:paraId="61E0A940" w14:textId="7784101C" w:rsidR="003E4C02" w:rsidRPr="00E20483" w:rsidRDefault="009F13E7" w:rsidP="004B15D0">
      <w:pPr>
        <w:pStyle w:val="ListParagraph"/>
        <w:numPr>
          <w:ilvl w:val="0"/>
          <w:numId w:val="14"/>
        </w:numPr>
        <w:spacing w:after="120"/>
        <w:ind w:left="360"/>
        <w:rPr>
          <w:rFonts w:ascii="GibsonLight" w:eastAsia="Arial Unicode MS" w:hAnsi="GibsonLight"/>
          <w:spacing w:val="12"/>
          <w:sz w:val="22"/>
          <w:szCs w:val="24"/>
        </w:rPr>
      </w:pPr>
      <w:r w:rsidRPr="00E20483">
        <w:rPr>
          <w:rFonts w:ascii="GibsonLight" w:eastAsia="Arial Unicode MS" w:hAnsi="GibsonLight"/>
          <w:b/>
          <w:spacing w:val="12"/>
          <w:sz w:val="22"/>
          <w:szCs w:val="24"/>
        </w:rPr>
        <w:t>Country</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Country of the target population</w:t>
      </w:r>
    </w:p>
    <w:p w14:paraId="3C32DF89" w14:textId="0FA2314F" w:rsidR="003D5962" w:rsidRPr="00E20483" w:rsidRDefault="009F13E7" w:rsidP="004B15D0">
      <w:pPr>
        <w:pStyle w:val="ListParagraph"/>
        <w:numPr>
          <w:ilvl w:val="0"/>
          <w:numId w:val="14"/>
        </w:numPr>
        <w:spacing w:after="120"/>
        <w:ind w:left="360"/>
        <w:rPr>
          <w:rFonts w:ascii="GibsonLight" w:eastAsia="Arial Unicode MS" w:hAnsi="GibsonLight"/>
          <w:spacing w:val="12"/>
          <w:sz w:val="22"/>
          <w:szCs w:val="24"/>
        </w:rPr>
      </w:pPr>
      <w:r w:rsidRPr="00E20483">
        <w:rPr>
          <w:rFonts w:ascii="GibsonLight" w:eastAsia="Arial Unicode MS" w:hAnsi="GibsonLight"/>
          <w:b/>
          <w:spacing w:val="12"/>
          <w:sz w:val="22"/>
          <w:szCs w:val="24"/>
        </w:rPr>
        <w:t>Other characteristics</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w:t>
      </w:r>
      <w:r w:rsidR="004E4AF5" w:rsidRPr="00E20483">
        <w:rPr>
          <w:rFonts w:ascii="GibsonLight" w:eastAsia="Arial Unicode MS" w:hAnsi="GibsonLight"/>
          <w:spacing w:val="12"/>
          <w:sz w:val="22"/>
          <w:szCs w:val="24"/>
        </w:rPr>
        <w:t>O</w:t>
      </w:r>
      <w:r w:rsidRPr="00E20483">
        <w:rPr>
          <w:rFonts w:ascii="GibsonLight" w:eastAsia="Arial Unicode MS" w:hAnsi="GibsonLight"/>
          <w:spacing w:val="12"/>
          <w:sz w:val="22"/>
          <w:szCs w:val="24"/>
        </w:rPr>
        <w:t xml:space="preserve">ther detailed characteristics </w:t>
      </w:r>
      <w:r w:rsidR="004E4AF5" w:rsidRPr="00E20483">
        <w:rPr>
          <w:rFonts w:ascii="GibsonLight" w:eastAsia="Arial Unicode MS" w:hAnsi="GibsonLight"/>
          <w:spacing w:val="12"/>
          <w:sz w:val="22"/>
          <w:szCs w:val="24"/>
        </w:rPr>
        <w:t>of the recipients</w:t>
      </w:r>
      <w:r w:rsidR="004E4AF5" w:rsidRPr="00E20483" w:rsidDel="00B30871">
        <w:rPr>
          <w:rFonts w:ascii="GibsonLight" w:eastAsia="Arial Unicode MS" w:hAnsi="GibsonLight"/>
          <w:spacing w:val="12"/>
          <w:sz w:val="22"/>
          <w:szCs w:val="24"/>
        </w:rPr>
        <w:t xml:space="preserve"> </w:t>
      </w:r>
      <w:r w:rsidR="004E4AF5" w:rsidRPr="00E20483">
        <w:rPr>
          <w:rFonts w:ascii="GibsonLight" w:eastAsia="Arial Unicode MS" w:hAnsi="GibsonLight"/>
          <w:spacing w:val="12"/>
          <w:sz w:val="22"/>
          <w:szCs w:val="24"/>
        </w:rPr>
        <w:t xml:space="preserve">of the primary intervention and comparator </w:t>
      </w:r>
      <w:r w:rsidRPr="00E20483">
        <w:rPr>
          <w:rFonts w:ascii="GibsonLight" w:eastAsia="Arial Unicode MS" w:hAnsi="GibsonLight"/>
          <w:spacing w:val="12"/>
          <w:sz w:val="22"/>
          <w:szCs w:val="24"/>
        </w:rPr>
        <w:t xml:space="preserve">(e.g. co-morbidities) not included in </w:t>
      </w:r>
      <w:r w:rsidR="00B30871" w:rsidRPr="00E20483">
        <w:rPr>
          <w:rFonts w:ascii="GibsonLight" w:eastAsia="Arial Unicode MS" w:hAnsi="GibsonLight"/>
          <w:spacing w:val="12"/>
          <w:sz w:val="22"/>
          <w:szCs w:val="24"/>
        </w:rPr>
        <w:t xml:space="preserve">health status </w:t>
      </w:r>
      <w:r w:rsidRPr="00E20483">
        <w:rPr>
          <w:rFonts w:ascii="GibsonLight" w:eastAsia="Arial Unicode MS" w:hAnsi="GibsonLight"/>
          <w:spacing w:val="12"/>
          <w:sz w:val="22"/>
          <w:szCs w:val="24"/>
        </w:rPr>
        <w:t>that are pertinent to intervention and/or comparator.</w:t>
      </w:r>
    </w:p>
    <w:p w14:paraId="3A392A46" w14:textId="77777777" w:rsidR="009278C6" w:rsidRPr="00E20483" w:rsidRDefault="009278C6" w:rsidP="009278C6">
      <w:pPr>
        <w:pStyle w:val="ListParagraph"/>
        <w:spacing w:after="120"/>
        <w:ind w:left="360"/>
        <w:rPr>
          <w:rFonts w:ascii="GibsonLight" w:eastAsia="Arial Unicode MS" w:hAnsi="GibsonLight"/>
          <w:spacing w:val="12"/>
          <w:sz w:val="22"/>
          <w:szCs w:val="24"/>
        </w:rPr>
      </w:pPr>
    </w:p>
    <w:p w14:paraId="3AA8EE1D" w14:textId="7DC3ABAB" w:rsidR="003D5962" w:rsidRPr="009278C6" w:rsidRDefault="003D5962" w:rsidP="004B15D0">
      <w:pPr>
        <w:pStyle w:val="Heading3"/>
        <w:numPr>
          <w:ilvl w:val="0"/>
          <w:numId w:val="0"/>
        </w:numPr>
        <w:spacing w:after="120"/>
        <w:rPr>
          <w:rFonts w:ascii="GibsonLight" w:eastAsia="Arial Unicode MS" w:hAnsi="GibsonLight"/>
          <w:spacing w:val="12"/>
          <w:sz w:val="32"/>
          <w:szCs w:val="24"/>
        </w:rPr>
      </w:pPr>
      <w:bookmarkStart w:id="22" w:name="_Toc100072039"/>
      <w:r w:rsidRPr="009278C6">
        <w:rPr>
          <w:rFonts w:ascii="GibsonLight" w:eastAsia="Arial Unicode MS" w:hAnsi="GibsonLight"/>
          <w:spacing w:val="12"/>
          <w:sz w:val="32"/>
          <w:szCs w:val="24"/>
        </w:rPr>
        <w:t>Intervention</w:t>
      </w:r>
      <w:bookmarkEnd w:id="22"/>
    </w:p>
    <w:p w14:paraId="1439053D" w14:textId="7BB5B7D9" w:rsidR="009C470B" w:rsidRPr="00E20483" w:rsidRDefault="002E4DD7" w:rsidP="004B15D0">
      <w:pPr>
        <w:pStyle w:val="ListParagraph"/>
        <w:numPr>
          <w:ilvl w:val="0"/>
          <w:numId w:val="14"/>
        </w:numPr>
        <w:spacing w:after="120"/>
        <w:ind w:left="360"/>
        <w:rPr>
          <w:rFonts w:ascii="GibsonLight" w:eastAsia="Arial Unicode MS" w:hAnsi="GibsonLight"/>
          <w:spacing w:val="12"/>
          <w:sz w:val="22"/>
          <w:szCs w:val="24"/>
        </w:rPr>
      </w:pPr>
      <w:r w:rsidRPr="00E20483">
        <w:rPr>
          <w:rFonts w:ascii="GibsonLight" w:eastAsia="Arial Unicode MS" w:hAnsi="GibsonLight"/>
          <w:b/>
          <w:spacing w:val="12"/>
          <w:sz w:val="22"/>
          <w:szCs w:val="24"/>
        </w:rPr>
        <w:t xml:space="preserve">Intervention </w:t>
      </w:r>
      <w:r w:rsidR="009C470B" w:rsidRPr="00E20483">
        <w:rPr>
          <w:rFonts w:ascii="GibsonLight" w:eastAsia="Arial Unicode MS" w:hAnsi="GibsonLight"/>
          <w:b/>
          <w:spacing w:val="12"/>
          <w:sz w:val="22"/>
          <w:szCs w:val="24"/>
        </w:rPr>
        <w:t>Modality</w:t>
      </w:r>
      <w:r w:rsidR="007174B9" w:rsidRPr="00E20483">
        <w:rPr>
          <w:rFonts w:ascii="GibsonLight" w:eastAsia="Arial Unicode MS" w:hAnsi="GibsonLight"/>
          <w:spacing w:val="12"/>
          <w:sz w:val="22"/>
          <w:szCs w:val="24"/>
        </w:rPr>
        <w:t>:</w:t>
      </w:r>
      <w:r w:rsidR="003D5962" w:rsidRPr="00E20483">
        <w:rPr>
          <w:rFonts w:ascii="GibsonLight" w:eastAsia="Arial Unicode MS" w:hAnsi="GibsonLight"/>
          <w:b/>
          <w:spacing w:val="12"/>
          <w:sz w:val="22"/>
          <w:szCs w:val="24"/>
        </w:rPr>
        <w:t xml:space="preserve"> </w:t>
      </w:r>
    </w:p>
    <w:p w14:paraId="73FE8DBC" w14:textId="3D29EC63" w:rsidR="003D5962" w:rsidRPr="00E20483" w:rsidRDefault="003D5962"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Single</w:t>
      </w:r>
      <w:r w:rsidR="007174B9" w:rsidRPr="00E20483">
        <w:rPr>
          <w:rFonts w:ascii="GibsonLight" w:eastAsia="Arial Unicode MS" w:hAnsi="GibsonLight"/>
          <w:spacing w:val="12"/>
          <w:sz w:val="22"/>
          <w:szCs w:val="24"/>
        </w:rPr>
        <w:t>:</w:t>
      </w:r>
      <w:r w:rsidR="00F7296A" w:rsidRPr="00E20483">
        <w:rPr>
          <w:rFonts w:ascii="GibsonLight" w:eastAsia="Arial Unicode MS" w:hAnsi="GibsonLight"/>
          <w:spacing w:val="12"/>
          <w:sz w:val="22"/>
          <w:szCs w:val="24"/>
        </w:rPr>
        <w:t xml:space="preserve"> Treatment was a single intervention.</w:t>
      </w:r>
    </w:p>
    <w:p w14:paraId="07905325" w14:textId="2F16007A" w:rsidR="003D5962" w:rsidRPr="00E20483" w:rsidRDefault="003D5962"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Multiple/Combined</w:t>
      </w:r>
      <w:r w:rsidR="007174B9" w:rsidRPr="00E20483">
        <w:rPr>
          <w:rFonts w:ascii="GibsonLight" w:eastAsia="Arial Unicode MS" w:hAnsi="GibsonLight"/>
          <w:spacing w:val="12"/>
          <w:sz w:val="22"/>
          <w:szCs w:val="24"/>
        </w:rPr>
        <w:t>:</w:t>
      </w:r>
      <w:r w:rsidR="00F7296A" w:rsidRPr="00E20483">
        <w:rPr>
          <w:rFonts w:ascii="GibsonLight" w:eastAsia="Arial Unicode MS" w:hAnsi="GibsonLight"/>
          <w:spacing w:val="12"/>
          <w:sz w:val="22"/>
          <w:szCs w:val="24"/>
        </w:rPr>
        <w:t xml:space="preserve"> </w:t>
      </w:r>
      <w:r w:rsidR="00225E07" w:rsidRPr="00E20483">
        <w:rPr>
          <w:rFonts w:ascii="GibsonLight" w:eastAsia="Arial Unicode MS" w:hAnsi="GibsonLight"/>
          <w:spacing w:val="12"/>
          <w:sz w:val="22"/>
          <w:szCs w:val="24"/>
        </w:rPr>
        <w:t xml:space="preserve">A treatment is given in conjunction with another treatment (e.g. physical activity </w:t>
      </w:r>
      <w:r w:rsidR="00225E07" w:rsidRPr="00E20483">
        <w:rPr>
          <w:rFonts w:ascii="GibsonLight" w:eastAsia="Arial Unicode MS" w:hAnsi="GibsonLight"/>
          <w:i/>
          <w:spacing w:val="12"/>
          <w:sz w:val="22"/>
          <w:szCs w:val="24"/>
        </w:rPr>
        <w:t>and</w:t>
      </w:r>
      <w:r w:rsidR="00225E07" w:rsidRPr="00E20483">
        <w:rPr>
          <w:rFonts w:ascii="GibsonLight" w:eastAsia="Arial Unicode MS" w:hAnsi="GibsonLight"/>
          <w:spacing w:val="12"/>
          <w:sz w:val="22"/>
          <w:szCs w:val="24"/>
        </w:rPr>
        <w:t xml:space="preserve"> chang</w:t>
      </w:r>
      <w:r w:rsidR="00EB3A1F" w:rsidRPr="00E20483">
        <w:rPr>
          <w:rFonts w:ascii="GibsonLight" w:eastAsia="Arial Unicode MS" w:hAnsi="GibsonLight"/>
          <w:spacing w:val="12"/>
          <w:sz w:val="22"/>
          <w:szCs w:val="24"/>
        </w:rPr>
        <w:t>es to diet to prevent obesity)</w:t>
      </w:r>
    </w:p>
    <w:p w14:paraId="46D27102" w14:textId="1A4F3DD7" w:rsidR="003D5962" w:rsidRPr="00E20483" w:rsidRDefault="003D5962" w:rsidP="004B15D0">
      <w:pPr>
        <w:spacing w:after="120"/>
        <w:ind w:left="720"/>
        <w:rPr>
          <w:rFonts w:ascii="GibsonLight" w:eastAsia="Arial Unicode MS" w:hAnsi="GibsonLight"/>
          <w:spacing w:val="12"/>
          <w:sz w:val="22"/>
          <w:szCs w:val="24"/>
        </w:rPr>
      </w:pPr>
      <w:r w:rsidRPr="00E20483">
        <w:rPr>
          <w:rFonts w:ascii="GibsonLight" w:eastAsia="Arial Unicode MS" w:hAnsi="GibsonLight"/>
          <w:b/>
          <w:spacing w:val="12"/>
          <w:sz w:val="22"/>
          <w:szCs w:val="24"/>
        </w:rPr>
        <w:t>Sequential/Step</w:t>
      </w:r>
      <w:r w:rsidR="007174B9" w:rsidRPr="00E20483">
        <w:rPr>
          <w:rFonts w:ascii="GibsonLight" w:eastAsia="Arial Unicode MS" w:hAnsi="GibsonLight"/>
          <w:spacing w:val="12"/>
          <w:sz w:val="22"/>
          <w:szCs w:val="24"/>
        </w:rPr>
        <w:t>:</w:t>
      </w:r>
      <w:r w:rsidR="00225E07" w:rsidRPr="00E20483">
        <w:rPr>
          <w:rFonts w:ascii="GibsonLight" w:eastAsia="Arial Unicode MS" w:hAnsi="GibsonLight"/>
          <w:spacing w:val="12"/>
          <w:sz w:val="22"/>
          <w:szCs w:val="24"/>
        </w:rPr>
        <w:t xml:space="preserve"> The treatment is given conducted one intervention after another (e.g. cancer patients' first receiving chemotherapy </w:t>
      </w:r>
      <w:r w:rsidR="00225E07" w:rsidRPr="00E20483">
        <w:rPr>
          <w:rFonts w:ascii="GibsonLight" w:eastAsia="Arial Unicode MS" w:hAnsi="GibsonLight"/>
          <w:i/>
          <w:spacing w:val="12"/>
          <w:sz w:val="22"/>
          <w:szCs w:val="24"/>
        </w:rPr>
        <w:t>before</w:t>
      </w:r>
      <w:r w:rsidR="00225E07" w:rsidRPr="00E20483">
        <w:rPr>
          <w:rFonts w:ascii="GibsonLight" w:eastAsia="Arial Unicode MS" w:hAnsi="GibsonLight"/>
          <w:spacing w:val="12"/>
          <w:sz w:val="22"/>
          <w:szCs w:val="24"/>
        </w:rPr>
        <w:t xml:space="preserve"> undergo</w:t>
      </w:r>
      <w:r w:rsidR="00EB3A1F" w:rsidRPr="00E20483">
        <w:rPr>
          <w:rFonts w:ascii="GibsonLight" w:eastAsia="Arial Unicode MS" w:hAnsi="GibsonLight"/>
          <w:spacing w:val="12"/>
          <w:sz w:val="22"/>
          <w:szCs w:val="24"/>
        </w:rPr>
        <w:t>ing surgery to remove a tumor).</w:t>
      </w:r>
    </w:p>
    <w:p w14:paraId="286EDD39" w14:textId="7C05ECD6" w:rsidR="009C470B" w:rsidRPr="00E20483" w:rsidRDefault="009C470B" w:rsidP="004B15D0">
      <w:pPr>
        <w:numPr>
          <w:ilvl w:val="0"/>
          <w:numId w:val="14"/>
        </w:numPr>
        <w:spacing w:after="120"/>
        <w:ind w:left="360"/>
        <w:rPr>
          <w:rFonts w:ascii="GibsonLight" w:eastAsia="Arial Unicode MS" w:hAnsi="GibsonLight"/>
          <w:b/>
          <w:spacing w:val="12"/>
          <w:sz w:val="22"/>
          <w:szCs w:val="24"/>
        </w:rPr>
      </w:pPr>
      <w:r w:rsidRPr="00E20483">
        <w:rPr>
          <w:rFonts w:ascii="GibsonLight" w:eastAsia="Arial Unicode MS" w:hAnsi="GibsonLight"/>
          <w:b/>
          <w:spacing w:val="12"/>
          <w:sz w:val="22"/>
          <w:szCs w:val="24"/>
        </w:rPr>
        <w:t>Intervention Phrase</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A concise description of the primary intervention evaluated in the study.</w:t>
      </w:r>
      <w:r w:rsidRPr="00E20483">
        <w:rPr>
          <w:rFonts w:ascii="GibsonLight" w:eastAsia="Arial Unicode MS" w:hAnsi="GibsonLight"/>
          <w:i/>
          <w:spacing w:val="12"/>
          <w:sz w:val="22"/>
          <w:szCs w:val="24"/>
        </w:rPr>
        <w:t xml:space="preserve"> </w:t>
      </w:r>
    </w:p>
    <w:p w14:paraId="4029AA66" w14:textId="7C608C75" w:rsidR="009C470B" w:rsidRPr="00E20483" w:rsidRDefault="009C470B" w:rsidP="004B15D0">
      <w:pPr>
        <w:numPr>
          <w:ilvl w:val="0"/>
          <w:numId w:val="14"/>
        </w:numPr>
        <w:tabs>
          <w:tab w:val="num" w:pos="360"/>
        </w:tabs>
        <w:spacing w:after="120"/>
        <w:ind w:left="360"/>
        <w:rPr>
          <w:rFonts w:ascii="GibsonLight" w:eastAsia="Arial Unicode MS" w:hAnsi="GibsonLight"/>
          <w:b/>
          <w:spacing w:val="12"/>
          <w:sz w:val="22"/>
          <w:szCs w:val="24"/>
        </w:rPr>
      </w:pPr>
      <w:r w:rsidRPr="00E20483">
        <w:rPr>
          <w:rFonts w:ascii="GibsonLight" w:eastAsia="Arial Unicode MS" w:hAnsi="GibsonLight"/>
          <w:b/>
          <w:spacing w:val="12"/>
          <w:sz w:val="22"/>
          <w:szCs w:val="24"/>
        </w:rPr>
        <w:t>Intervention Description</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Additional relevant details pertaining to the primary intervention evaluated in the study.</w:t>
      </w:r>
    </w:p>
    <w:p w14:paraId="57069F5B" w14:textId="77AB17E2" w:rsidR="000C0AA9" w:rsidRPr="00E20483" w:rsidRDefault="009C470B" w:rsidP="00034CF6">
      <w:pPr>
        <w:pStyle w:val="ListParagraph"/>
        <w:numPr>
          <w:ilvl w:val="0"/>
          <w:numId w:val="14"/>
        </w:numPr>
        <w:spacing w:after="120"/>
        <w:ind w:left="360"/>
        <w:rPr>
          <w:rFonts w:ascii="GibsonLight" w:eastAsia="Arial Unicode MS" w:hAnsi="GibsonLight"/>
          <w:spacing w:val="12"/>
          <w:sz w:val="22"/>
          <w:szCs w:val="24"/>
        </w:rPr>
      </w:pPr>
      <w:r w:rsidRPr="00E20483">
        <w:rPr>
          <w:rFonts w:ascii="GibsonLight" w:eastAsia="Arial Unicode MS" w:hAnsi="GibsonLight"/>
          <w:b/>
          <w:spacing w:val="12"/>
          <w:sz w:val="22"/>
          <w:szCs w:val="24"/>
        </w:rPr>
        <w:t>Intervention Type(s)</w:t>
      </w:r>
      <w:r w:rsidR="007174B9" w:rsidRPr="00E20483">
        <w:rPr>
          <w:rFonts w:ascii="GibsonLight" w:eastAsia="Arial Unicode MS" w:hAnsi="GibsonLight"/>
          <w:spacing w:val="12"/>
          <w:sz w:val="22"/>
          <w:szCs w:val="24"/>
        </w:rPr>
        <w:t>:</w:t>
      </w:r>
      <w:r w:rsidR="002E4DD7" w:rsidRPr="00E20483">
        <w:rPr>
          <w:rFonts w:ascii="GibsonLight" w:eastAsia="Arial Unicode MS" w:hAnsi="GibsonLight"/>
          <w:spacing w:val="12"/>
          <w:sz w:val="22"/>
          <w:szCs w:val="24"/>
        </w:rPr>
        <w:t xml:space="preserve"> Classify the intervention type specific to the individual ratio you are reporting.</w:t>
      </w:r>
      <w:r w:rsidR="004E4AF5" w:rsidRPr="00E20483">
        <w:rPr>
          <w:rFonts w:ascii="GibsonLight" w:eastAsia="Arial Unicode MS" w:hAnsi="GibsonLight"/>
          <w:spacing w:val="12"/>
          <w:sz w:val="22"/>
          <w:szCs w:val="24"/>
        </w:rPr>
        <w:t xml:space="preserve"> </w:t>
      </w:r>
    </w:p>
    <w:p w14:paraId="79C0237F" w14:textId="77777777" w:rsidR="00034CF6" w:rsidRPr="00E20483" w:rsidRDefault="00034CF6" w:rsidP="00034CF6">
      <w:pPr>
        <w:pStyle w:val="ListParagraph"/>
        <w:spacing w:after="120"/>
        <w:ind w:left="360"/>
        <w:rPr>
          <w:rFonts w:ascii="GibsonLight" w:eastAsia="Arial Unicode MS" w:hAnsi="GibsonLight"/>
          <w:spacing w:val="12"/>
          <w:sz w:val="22"/>
          <w:szCs w:val="24"/>
        </w:rPr>
      </w:pPr>
    </w:p>
    <w:p w14:paraId="52BC01A2" w14:textId="11977DB2" w:rsidR="007A419B" w:rsidRPr="009278C6" w:rsidRDefault="007A419B" w:rsidP="004B15D0">
      <w:pPr>
        <w:pStyle w:val="Heading3"/>
        <w:numPr>
          <w:ilvl w:val="0"/>
          <w:numId w:val="0"/>
        </w:numPr>
        <w:spacing w:after="120"/>
        <w:rPr>
          <w:rFonts w:ascii="GibsonLight" w:eastAsia="Arial Unicode MS" w:hAnsi="GibsonLight"/>
          <w:spacing w:val="12"/>
          <w:sz w:val="32"/>
          <w:szCs w:val="24"/>
        </w:rPr>
      </w:pPr>
      <w:bookmarkStart w:id="23" w:name="_Toc100072040"/>
      <w:r w:rsidRPr="009278C6">
        <w:rPr>
          <w:rFonts w:ascii="GibsonLight" w:eastAsia="Arial Unicode MS" w:hAnsi="GibsonLight"/>
          <w:spacing w:val="12"/>
          <w:sz w:val="32"/>
          <w:szCs w:val="24"/>
        </w:rPr>
        <w:lastRenderedPageBreak/>
        <w:t>Comparator</w:t>
      </w:r>
      <w:bookmarkEnd w:id="23"/>
    </w:p>
    <w:p w14:paraId="35945CD6" w14:textId="152545A2" w:rsidR="003D5962" w:rsidRPr="00E20483" w:rsidRDefault="009F13E7" w:rsidP="004B15D0">
      <w:pPr>
        <w:numPr>
          <w:ilvl w:val="0"/>
          <w:numId w:val="14"/>
        </w:numPr>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Comparator</w:t>
      </w:r>
      <w:r w:rsidR="003D5962" w:rsidRPr="00E20483">
        <w:rPr>
          <w:rFonts w:ascii="GibsonLight" w:eastAsia="Arial Unicode MS" w:hAnsi="GibsonLight"/>
          <w:b/>
          <w:spacing w:val="12"/>
          <w:sz w:val="22"/>
          <w:szCs w:val="22"/>
        </w:rPr>
        <w:t xml:space="preserve"> Modality</w:t>
      </w:r>
      <w:r w:rsidR="007174B9" w:rsidRPr="00E20483">
        <w:rPr>
          <w:rFonts w:ascii="GibsonLight" w:eastAsia="Arial Unicode MS" w:hAnsi="GibsonLight"/>
          <w:spacing w:val="12"/>
          <w:sz w:val="22"/>
          <w:szCs w:val="22"/>
        </w:rPr>
        <w:t>:</w:t>
      </w:r>
    </w:p>
    <w:p w14:paraId="0C5E57BA" w14:textId="559861C7" w:rsidR="00225E07" w:rsidRPr="00E20483" w:rsidRDefault="00225E07" w:rsidP="004B15D0">
      <w:pPr>
        <w:pStyle w:val="ListParagraph"/>
        <w:spacing w:after="120"/>
        <w:rPr>
          <w:rFonts w:ascii="GibsonLight" w:eastAsia="Arial Unicode MS" w:hAnsi="GibsonLight"/>
          <w:spacing w:val="12"/>
          <w:sz w:val="22"/>
          <w:szCs w:val="22"/>
        </w:rPr>
      </w:pPr>
      <w:r w:rsidRPr="00E20483">
        <w:rPr>
          <w:rFonts w:ascii="GibsonLight" w:eastAsia="Arial Unicode MS" w:hAnsi="GibsonLight"/>
          <w:b/>
          <w:spacing w:val="12"/>
          <w:sz w:val="22"/>
          <w:szCs w:val="22"/>
        </w:rPr>
        <w:t>Note</w:t>
      </w:r>
      <w:r w:rsidRPr="00E20483">
        <w:rPr>
          <w:rFonts w:ascii="GibsonLight" w:eastAsia="Arial Unicode MS" w:hAnsi="GibsonLight"/>
          <w:spacing w:val="12"/>
          <w:sz w:val="22"/>
          <w:szCs w:val="22"/>
        </w:rPr>
        <w:t>: See categorizations and descriptions for Intervention Modality above.</w:t>
      </w:r>
    </w:p>
    <w:p w14:paraId="12A77832" w14:textId="1661E7B3" w:rsidR="003D5962" w:rsidRPr="00E20483" w:rsidRDefault="003D5962" w:rsidP="004B15D0">
      <w:pPr>
        <w:numPr>
          <w:ilvl w:val="0"/>
          <w:numId w:val="14"/>
        </w:numPr>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Comparator Type(s)</w:t>
      </w:r>
      <w:r w:rsidR="007174B9" w:rsidRPr="00E20483">
        <w:rPr>
          <w:rFonts w:ascii="GibsonLight" w:eastAsia="Arial Unicode MS" w:hAnsi="GibsonLight"/>
          <w:spacing w:val="12"/>
          <w:sz w:val="22"/>
          <w:szCs w:val="22"/>
        </w:rPr>
        <w:t>:</w:t>
      </w:r>
    </w:p>
    <w:p w14:paraId="51175A70" w14:textId="0C139928" w:rsidR="003D5962" w:rsidRPr="00E20483" w:rsidRDefault="003D5962" w:rsidP="00EB3A1F">
      <w:pPr>
        <w:spacing w:after="120"/>
        <w:ind w:left="720"/>
        <w:rPr>
          <w:rFonts w:ascii="GibsonLight" w:eastAsia="Arial Unicode MS" w:hAnsi="GibsonLight"/>
          <w:iCs/>
          <w:spacing w:val="12"/>
          <w:sz w:val="22"/>
          <w:szCs w:val="22"/>
        </w:rPr>
      </w:pPr>
      <w:r w:rsidRPr="00E20483">
        <w:rPr>
          <w:rFonts w:ascii="GibsonLight" w:eastAsia="Arial Unicode MS" w:hAnsi="GibsonLight"/>
          <w:b/>
          <w:iCs/>
          <w:spacing w:val="12"/>
          <w:sz w:val="22"/>
          <w:szCs w:val="22"/>
        </w:rPr>
        <w:t>Note</w:t>
      </w:r>
      <w:r w:rsidR="007174B9" w:rsidRPr="00E20483">
        <w:rPr>
          <w:rFonts w:ascii="GibsonLight" w:eastAsia="Arial Unicode MS" w:hAnsi="GibsonLight"/>
          <w:iCs/>
          <w:spacing w:val="12"/>
          <w:sz w:val="22"/>
          <w:szCs w:val="22"/>
        </w:rPr>
        <w:t>:</w:t>
      </w:r>
      <w:r w:rsidRPr="00E20483">
        <w:rPr>
          <w:rFonts w:ascii="GibsonLight" w:eastAsia="Arial Unicode MS" w:hAnsi="GibsonLight"/>
          <w:iCs/>
          <w:spacing w:val="12"/>
          <w:sz w:val="22"/>
          <w:szCs w:val="22"/>
        </w:rPr>
        <w:t xml:space="preserve"> See categorizations and descriptions for intervention type(s) in the Methods information section.</w:t>
      </w:r>
    </w:p>
    <w:p w14:paraId="2A222D56" w14:textId="77777777" w:rsidR="000C0AA9" w:rsidRPr="004F0578" w:rsidRDefault="000C0AA9" w:rsidP="004B15D0">
      <w:pPr>
        <w:spacing w:after="120"/>
        <w:ind w:left="360"/>
        <w:rPr>
          <w:rFonts w:ascii="GibsonLight" w:eastAsia="Arial Unicode MS" w:hAnsi="GibsonLight"/>
          <w:iCs/>
          <w:spacing w:val="12"/>
          <w:sz w:val="22"/>
          <w:szCs w:val="22"/>
        </w:rPr>
      </w:pPr>
    </w:p>
    <w:p w14:paraId="7BBDC0F8" w14:textId="39A0E9D9" w:rsidR="007A419B" w:rsidRPr="009278C6" w:rsidRDefault="007A419B" w:rsidP="004B15D0">
      <w:pPr>
        <w:pStyle w:val="Heading3"/>
        <w:numPr>
          <w:ilvl w:val="0"/>
          <w:numId w:val="0"/>
        </w:numPr>
        <w:spacing w:after="120"/>
        <w:rPr>
          <w:rFonts w:ascii="GibsonLight" w:eastAsia="Arial Unicode MS" w:hAnsi="GibsonLight"/>
          <w:spacing w:val="12"/>
          <w:sz w:val="32"/>
          <w:szCs w:val="24"/>
        </w:rPr>
      </w:pPr>
      <w:bookmarkStart w:id="24" w:name="_Toc100072041"/>
      <w:r w:rsidRPr="009278C6">
        <w:rPr>
          <w:rFonts w:ascii="GibsonLight" w:eastAsia="Arial Unicode MS" w:hAnsi="GibsonLight"/>
          <w:spacing w:val="12"/>
          <w:sz w:val="32"/>
          <w:szCs w:val="24"/>
        </w:rPr>
        <w:t>Ratio</w:t>
      </w:r>
      <w:bookmarkEnd w:id="24"/>
    </w:p>
    <w:p w14:paraId="6D37F821" w14:textId="51EBE17D" w:rsidR="007A419B" w:rsidRPr="00E20483" w:rsidRDefault="007A419B" w:rsidP="004B15D0">
      <w:pPr>
        <w:numPr>
          <w:ilvl w:val="0"/>
          <w:numId w:val="14"/>
        </w:numPr>
        <w:tabs>
          <w:tab w:val="num" w:pos="360"/>
        </w:tabs>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Ratio Type</w:t>
      </w:r>
      <w:r w:rsidR="00225E07" w:rsidRPr="00E20483">
        <w:rPr>
          <w:rFonts w:ascii="GibsonLight" w:eastAsia="Arial Unicode MS" w:hAnsi="GibsonLight"/>
          <w:spacing w:val="12"/>
          <w:sz w:val="22"/>
          <w:szCs w:val="22"/>
        </w:rPr>
        <w:t>:</w:t>
      </w:r>
    </w:p>
    <w:p w14:paraId="17370313" w14:textId="114EB94C" w:rsidR="007A419B" w:rsidRPr="00E20483" w:rsidRDefault="007A419B"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Cost/QALY</w:t>
      </w:r>
      <w:r w:rsidR="00225E07" w:rsidRPr="00E20483">
        <w:rPr>
          <w:rFonts w:ascii="GibsonLight" w:eastAsia="Arial Unicode MS" w:hAnsi="GibsonLight"/>
          <w:spacing w:val="12"/>
          <w:sz w:val="22"/>
          <w:szCs w:val="22"/>
        </w:rPr>
        <w:t xml:space="preserve">: Ratio </w:t>
      </w:r>
      <w:r w:rsidR="00992BA8" w:rsidRPr="00E20483">
        <w:rPr>
          <w:rFonts w:ascii="GibsonLight" w:eastAsia="Arial Unicode MS" w:hAnsi="GibsonLight"/>
          <w:spacing w:val="12"/>
          <w:sz w:val="22"/>
          <w:szCs w:val="22"/>
        </w:rPr>
        <w:t xml:space="preserve">being </w:t>
      </w:r>
      <w:r w:rsidR="00225E07" w:rsidRPr="00E20483">
        <w:rPr>
          <w:rFonts w:ascii="GibsonLight" w:eastAsia="Arial Unicode MS" w:hAnsi="GibsonLight"/>
          <w:spacing w:val="12"/>
          <w:sz w:val="22"/>
          <w:szCs w:val="22"/>
        </w:rPr>
        <w:t xml:space="preserve">reported </w:t>
      </w:r>
      <w:r w:rsidR="00992BA8" w:rsidRPr="00E20483">
        <w:rPr>
          <w:rFonts w:ascii="GibsonLight" w:eastAsia="Arial Unicode MS" w:hAnsi="GibsonLight"/>
          <w:spacing w:val="12"/>
          <w:sz w:val="22"/>
          <w:szCs w:val="22"/>
        </w:rPr>
        <w:t>is measured as the</w:t>
      </w:r>
      <w:r w:rsidR="00225E07" w:rsidRPr="00E20483">
        <w:rPr>
          <w:rFonts w:ascii="GibsonLight" w:eastAsia="Arial Unicode MS" w:hAnsi="GibsonLight"/>
          <w:spacing w:val="12"/>
          <w:sz w:val="22"/>
          <w:szCs w:val="22"/>
        </w:rPr>
        <w:t xml:space="preserve"> cost per quality-adjusted life year gained.</w:t>
      </w:r>
    </w:p>
    <w:p w14:paraId="55FF6EBC" w14:textId="06798CD3" w:rsidR="007A419B" w:rsidRPr="00E20483" w:rsidRDefault="007A419B"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Cost/DALY</w:t>
      </w:r>
      <w:r w:rsidR="00992BA8" w:rsidRPr="00E20483">
        <w:rPr>
          <w:rFonts w:ascii="GibsonLight" w:eastAsia="Arial Unicode MS" w:hAnsi="GibsonLight"/>
          <w:spacing w:val="12"/>
          <w:sz w:val="22"/>
          <w:szCs w:val="22"/>
        </w:rPr>
        <w:t>: Ratio being reported is measured as the cost per disability-adjusted life year averted.</w:t>
      </w:r>
    </w:p>
    <w:p w14:paraId="6875F78E" w14:textId="14EAE667" w:rsidR="009F13E7" w:rsidRPr="00E20483" w:rsidRDefault="009F13E7" w:rsidP="004B15D0">
      <w:pPr>
        <w:numPr>
          <w:ilvl w:val="0"/>
          <w:numId w:val="14"/>
        </w:numPr>
        <w:tabs>
          <w:tab w:val="num" w:pos="360"/>
        </w:tabs>
        <w:spacing w:after="120"/>
        <w:ind w:left="360"/>
        <w:rPr>
          <w:rFonts w:ascii="GibsonLight" w:eastAsia="Arial Unicode MS" w:hAnsi="GibsonLight"/>
          <w:b/>
          <w:spacing w:val="12"/>
          <w:sz w:val="22"/>
          <w:szCs w:val="24"/>
        </w:rPr>
      </w:pPr>
      <w:r w:rsidRPr="00E20483">
        <w:rPr>
          <w:rFonts w:ascii="GibsonLight" w:eastAsia="Arial Unicode MS" w:hAnsi="GibsonLight"/>
          <w:b/>
          <w:spacing w:val="12"/>
          <w:sz w:val="22"/>
          <w:szCs w:val="24"/>
        </w:rPr>
        <w:t xml:space="preserve">$/QALY </w:t>
      </w:r>
      <w:r w:rsidR="00EB3A1F" w:rsidRPr="00E20483">
        <w:rPr>
          <w:rFonts w:ascii="GibsonLight" w:eastAsia="Arial Unicode MS" w:hAnsi="GibsonLight"/>
          <w:b/>
          <w:spacing w:val="12"/>
          <w:sz w:val="22"/>
          <w:szCs w:val="24"/>
        </w:rPr>
        <w:t xml:space="preserve">or $/DALY </w:t>
      </w:r>
      <w:r w:rsidRPr="00E20483">
        <w:rPr>
          <w:rFonts w:ascii="GibsonLight" w:eastAsia="Arial Unicode MS" w:hAnsi="GibsonLight"/>
          <w:b/>
          <w:spacing w:val="12"/>
          <w:sz w:val="22"/>
          <w:szCs w:val="24"/>
        </w:rPr>
        <w:t>from article</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The incremental cost-effectiveness ratio (ICER) reported by the authors in the original article. Reports are only original, base-case $/QALYs</w:t>
      </w:r>
      <w:r w:rsidR="00992BA8" w:rsidRPr="00E20483">
        <w:rPr>
          <w:rFonts w:ascii="GibsonLight" w:eastAsia="Arial Unicode MS" w:hAnsi="GibsonLight"/>
          <w:spacing w:val="12"/>
          <w:sz w:val="22"/>
          <w:szCs w:val="24"/>
        </w:rPr>
        <w:t xml:space="preserve"> or $/DALY</w:t>
      </w:r>
      <w:r w:rsidRPr="00E20483">
        <w:rPr>
          <w:rFonts w:ascii="GibsonLight" w:eastAsia="Arial Unicode MS" w:hAnsi="GibsonLight"/>
          <w:spacing w:val="12"/>
          <w:sz w:val="22"/>
          <w:szCs w:val="24"/>
        </w:rPr>
        <w:t xml:space="preserve">. </w:t>
      </w:r>
    </w:p>
    <w:p w14:paraId="44C0DBEE" w14:textId="7E28184C" w:rsidR="00FD6609" w:rsidRPr="00E20483" w:rsidRDefault="00FD6609" w:rsidP="004B15D0">
      <w:pPr>
        <w:pStyle w:val="ListParagraph"/>
        <w:numPr>
          <w:ilvl w:val="0"/>
          <w:numId w:val="14"/>
        </w:numPr>
        <w:spacing w:after="120"/>
        <w:ind w:left="360"/>
        <w:rPr>
          <w:rFonts w:ascii="GibsonLight" w:eastAsia="Arial Unicode MS" w:hAnsi="GibsonLight"/>
          <w:b/>
          <w:spacing w:val="12"/>
          <w:sz w:val="22"/>
          <w:szCs w:val="24"/>
        </w:rPr>
      </w:pPr>
      <w:r w:rsidRPr="00E20483">
        <w:rPr>
          <w:rFonts w:ascii="GibsonLight" w:eastAsia="Arial Unicode MS" w:hAnsi="GibsonLight"/>
          <w:b/>
          <w:spacing w:val="12"/>
          <w:sz w:val="22"/>
          <w:szCs w:val="24"/>
        </w:rPr>
        <w:t>Ratio Value</w:t>
      </w:r>
      <w:r w:rsidR="007174B9" w:rsidRPr="00E20483">
        <w:rPr>
          <w:rFonts w:ascii="GibsonLight" w:eastAsia="Arial Unicode MS" w:hAnsi="GibsonLight"/>
          <w:spacing w:val="12"/>
          <w:sz w:val="22"/>
          <w:szCs w:val="24"/>
        </w:rPr>
        <w:t>:</w:t>
      </w:r>
    </w:p>
    <w:p w14:paraId="668D4091" w14:textId="41E50CC7" w:rsidR="00992BA8" w:rsidRPr="00E20483" w:rsidRDefault="00FD6609" w:rsidP="004B15D0">
      <w:pPr>
        <w:spacing w:after="120"/>
        <w:ind w:left="720"/>
        <w:rPr>
          <w:rFonts w:ascii="GibsonLight" w:eastAsia="Arial Unicode MS" w:hAnsi="GibsonLight"/>
          <w:b/>
          <w:spacing w:val="12"/>
          <w:sz w:val="22"/>
          <w:szCs w:val="24"/>
        </w:rPr>
      </w:pPr>
      <w:r w:rsidRPr="00E20483">
        <w:rPr>
          <w:rFonts w:ascii="GibsonLight" w:eastAsia="Arial Unicode MS" w:hAnsi="GibsonLight"/>
          <w:b/>
          <w:spacing w:val="12"/>
          <w:sz w:val="22"/>
          <w:szCs w:val="24"/>
        </w:rPr>
        <w:t>Per patient</w:t>
      </w:r>
      <w:r w:rsidR="00992BA8" w:rsidRPr="00E20483">
        <w:rPr>
          <w:rFonts w:ascii="GibsonLight" w:eastAsia="Arial Unicode MS" w:hAnsi="GibsonLight"/>
          <w:spacing w:val="12"/>
          <w:sz w:val="22"/>
          <w:szCs w:val="24"/>
        </w:rPr>
        <w:t>: The ratio being reported represents costs and health effects at the patient level.</w:t>
      </w:r>
    </w:p>
    <w:p w14:paraId="0396ACBB" w14:textId="36392B7A" w:rsidR="00FD6609" w:rsidRPr="00E20483" w:rsidRDefault="00FD6609" w:rsidP="004B15D0">
      <w:pPr>
        <w:spacing w:after="120"/>
        <w:ind w:left="720"/>
        <w:rPr>
          <w:rFonts w:ascii="GibsonLight" w:eastAsia="Arial Unicode MS" w:hAnsi="GibsonLight"/>
          <w:b/>
          <w:spacing w:val="12"/>
          <w:sz w:val="22"/>
          <w:szCs w:val="24"/>
        </w:rPr>
      </w:pPr>
      <w:r w:rsidRPr="00E20483">
        <w:rPr>
          <w:rFonts w:ascii="GibsonLight" w:eastAsia="Arial Unicode MS" w:hAnsi="GibsonLight"/>
          <w:b/>
          <w:spacing w:val="12"/>
          <w:sz w:val="22"/>
          <w:szCs w:val="24"/>
        </w:rPr>
        <w:t>Entire population</w:t>
      </w:r>
      <w:r w:rsidR="00992BA8" w:rsidRPr="00E20483">
        <w:rPr>
          <w:rFonts w:ascii="GibsonLight" w:eastAsia="Arial Unicode MS" w:hAnsi="GibsonLight"/>
          <w:spacing w:val="12"/>
          <w:sz w:val="22"/>
          <w:szCs w:val="24"/>
        </w:rPr>
        <w:t>: The ratio being reported represents costs and health effects of a particular population.</w:t>
      </w:r>
    </w:p>
    <w:p w14:paraId="70A48241" w14:textId="68B0C9BE" w:rsidR="009F13E7" w:rsidRPr="00E20483" w:rsidRDefault="00EB3A1F" w:rsidP="004B15D0">
      <w:pPr>
        <w:pStyle w:val="ListParagraph"/>
        <w:numPr>
          <w:ilvl w:val="0"/>
          <w:numId w:val="14"/>
        </w:numPr>
        <w:spacing w:after="120"/>
        <w:ind w:left="360"/>
        <w:rPr>
          <w:rFonts w:ascii="GibsonLight" w:eastAsia="Arial Unicode MS" w:hAnsi="GibsonLight"/>
          <w:b/>
          <w:spacing w:val="12"/>
          <w:sz w:val="22"/>
          <w:szCs w:val="24"/>
        </w:rPr>
      </w:pPr>
      <w:r w:rsidRPr="00E20483">
        <w:rPr>
          <w:rFonts w:ascii="GibsonLight" w:eastAsia="Arial Unicode MS" w:hAnsi="GibsonLight"/>
          <w:b/>
          <w:spacing w:val="12"/>
          <w:sz w:val="22"/>
          <w:szCs w:val="24"/>
        </w:rPr>
        <w:t>$/QALY or $/DALY from Reviewer</w:t>
      </w:r>
      <w:r w:rsidR="007174B9" w:rsidRPr="00E20483">
        <w:rPr>
          <w:rFonts w:ascii="GibsonLight" w:eastAsia="Arial Unicode MS" w:hAnsi="GibsonLight"/>
          <w:spacing w:val="12"/>
          <w:sz w:val="22"/>
          <w:szCs w:val="24"/>
        </w:rPr>
        <w:t>:</w:t>
      </w:r>
      <w:r w:rsidR="007A419B"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Reviewer recalculated ratio</w:t>
      </w:r>
      <w:r w:rsidR="007A419B" w:rsidRPr="00E20483">
        <w:rPr>
          <w:rFonts w:ascii="GibsonLight" w:eastAsia="Arial Unicode MS" w:hAnsi="GibsonLight"/>
          <w:spacing w:val="12"/>
          <w:sz w:val="22"/>
          <w:szCs w:val="24"/>
        </w:rPr>
        <w:t xml:space="preserve"> based on the disaggregated costs and QALYs gained or DALYs averted</w:t>
      </w:r>
      <w:r w:rsidR="00992BA8" w:rsidRPr="00E20483">
        <w:rPr>
          <w:rFonts w:ascii="GibsonLight" w:eastAsia="Arial Unicode MS" w:hAnsi="GibsonLight"/>
          <w:spacing w:val="12"/>
          <w:sz w:val="22"/>
          <w:szCs w:val="24"/>
        </w:rPr>
        <w:t xml:space="preserve"> reported within the </w:t>
      </w:r>
      <w:r w:rsidRPr="00E20483">
        <w:rPr>
          <w:rFonts w:ascii="GibsonLight" w:eastAsia="Arial Unicode MS" w:hAnsi="GibsonLight"/>
          <w:spacing w:val="12"/>
          <w:sz w:val="22"/>
          <w:szCs w:val="24"/>
        </w:rPr>
        <w:t>study</w:t>
      </w:r>
      <w:r w:rsidR="007A419B" w:rsidRPr="00E20483">
        <w:rPr>
          <w:rFonts w:ascii="GibsonLight" w:eastAsia="Arial Unicode MS" w:hAnsi="GibsonLight"/>
          <w:spacing w:val="12"/>
          <w:sz w:val="22"/>
          <w:szCs w:val="24"/>
        </w:rPr>
        <w:t>.</w:t>
      </w:r>
    </w:p>
    <w:p w14:paraId="57271517" w14:textId="16ED7E59" w:rsidR="009F13E7" w:rsidRPr="00E20483" w:rsidRDefault="009F13E7" w:rsidP="004B15D0">
      <w:pPr>
        <w:pStyle w:val="BodyTextIndent3"/>
        <w:numPr>
          <w:ilvl w:val="0"/>
          <w:numId w:val="14"/>
        </w:numPr>
        <w:spacing w:after="120"/>
        <w:ind w:left="360"/>
        <w:rPr>
          <w:rFonts w:ascii="GibsonLight" w:eastAsia="Arial Unicode MS" w:hAnsi="GibsonLight"/>
          <w:b/>
          <w:spacing w:val="12"/>
          <w:sz w:val="22"/>
        </w:rPr>
      </w:pPr>
      <w:r w:rsidRPr="00E20483">
        <w:rPr>
          <w:rFonts w:ascii="GibsonLight" w:eastAsia="Arial Unicode MS" w:hAnsi="GibsonLight"/>
          <w:b/>
          <w:spacing w:val="12"/>
          <w:sz w:val="22"/>
        </w:rPr>
        <w:t>Ratio Quadrant</w:t>
      </w:r>
      <w:r w:rsidR="007174B9" w:rsidRPr="00E20483">
        <w:rPr>
          <w:rFonts w:ascii="GibsonLight" w:eastAsia="Arial Unicode MS" w:hAnsi="GibsonLight"/>
          <w:spacing w:val="12"/>
          <w:sz w:val="22"/>
        </w:rPr>
        <w:t>:</w:t>
      </w:r>
      <w:r w:rsidRPr="00E20483">
        <w:rPr>
          <w:rFonts w:ascii="GibsonLight" w:eastAsia="Arial Unicode MS" w:hAnsi="GibsonLight"/>
          <w:b/>
          <w:spacing w:val="12"/>
          <w:sz w:val="22"/>
        </w:rPr>
        <w:t xml:space="preserve"> </w:t>
      </w:r>
      <w:r w:rsidRPr="00E20483">
        <w:rPr>
          <w:rFonts w:ascii="GibsonLight" w:eastAsia="Arial Unicode MS" w:hAnsi="GibsonLight"/>
          <w:spacing w:val="12"/>
          <w:sz w:val="22"/>
        </w:rPr>
        <w:t xml:space="preserve">The quadrant describes where the ratio is located in the cost-effectiveness plane (Figure </w:t>
      </w:r>
      <w:r w:rsidR="00D1471B" w:rsidRPr="00E20483">
        <w:rPr>
          <w:rFonts w:ascii="GibsonLight" w:eastAsia="Arial Unicode MS" w:hAnsi="GibsonLight"/>
          <w:spacing w:val="12"/>
          <w:sz w:val="22"/>
        </w:rPr>
        <w:t>4</w:t>
      </w:r>
      <w:r w:rsidRPr="00E20483">
        <w:rPr>
          <w:rFonts w:ascii="GibsonLight" w:eastAsia="Arial Unicode MS" w:hAnsi="GibsonLight"/>
          <w:spacing w:val="12"/>
          <w:sz w:val="22"/>
        </w:rPr>
        <w:t>)</w:t>
      </w:r>
      <w:r w:rsidR="007174B9" w:rsidRPr="00E20483">
        <w:rPr>
          <w:rFonts w:ascii="GibsonLight" w:eastAsia="Arial Unicode MS" w:hAnsi="GibsonLight"/>
          <w:spacing w:val="12"/>
          <w:sz w:val="22"/>
        </w:rPr>
        <w:t>:</w:t>
      </w:r>
    </w:p>
    <w:p w14:paraId="7FECC7EC" w14:textId="4CFD488B" w:rsidR="00007778" w:rsidRPr="00E20483" w:rsidRDefault="004E4AF5"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Quadrant I</w:t>
      </w:r>
      <w:r w:rsidR="007174B9" w:rsidRPr="00E20483">
        <w:rPr>
          <w:rFonts w:ascii="GibsonLight" w:eastAsia="Arial Unicode MS" w:hAnsi="GibsonLight"/>
          <w:spacing w:val="12"/>
          <w:sz w:val="22"/>
        </w:rPr>
        <w:t>:</w:t>
      </w:r>
      <w:r w:rsidRPr="00E20483">
        <w:rPr>
          <w:rFonts w:ascii="GibsonLight" w:eastAsia="Arial Unicode MS" w:hAnsi="GibsonLight"/>
          <w:spacing w:val="12"/>
          <w:sz w:val="22"/>
        </w:rPr>
        <w:t xml:space="preserve"> T</w:t>
      </w:r>
      <w:r w:rsidR="009F13E7" w:rsidRPr="00E20483">
        <w:rPr>
          <w:rFonts w:ascii="GibsonLight" w:eastAsia="Arial Unicode MS" w:hAnsi="GibsonLight"/>
          <w:spacing w:val="12"/>
          <w:sz w:val="22"/>
        </w:rPr>
        <w:t xml:space="preserve">he intervention increases costs </w:t>
      </w:r>
      <w:r w:rsidR="006D4A3D" w:rsidRPr="00E20483">
        <w:rPr>
          <w:rFonts w:ascii="GibsonLight" w:eastAsia="Arial Unicode MS" w:hAnsi="GibsonLight"/>
          <w:spacing w:val="12"/>
          <w:sz w:val="22"/>
        </w:rPr>
        <w:t xml:space="preserve">and </w:t>
      </w:r>
      <w:r w:rsidRPr="00E20483">
        <w:rPr>
          <w:rFonts w:ascii="GibsonLight" w:eastAsia="Arial Unicode MS" w:hAnsi="GibsonLight"/>
          <w:spacing w:val="12"/>
          <w:sz w:val="22"/>
        </w:rPr>
        <w:t>worsens health (i.e. costs more and provides less</w:t>
      </w:r>
      <w:r w:rsidR="006D4A3D" w:rsidRPr="00E20483">
        <w:rPr>
          <w:rFonts w:ascii="GibsonLight" w:eastAsia="Arial Unicode MS" w:hAnsi="GibsonLight"/>
          <w:spacing w:val="12"/>
          <w:sz w:val="22"/>
        </w:rPr>
        <w:t xml:space="preserve"> </w:t>
      </w:r>
      <w:r w:rsidRPr="00E20483">
        <w:rPr>
          <w:rFonts w:ascii="GibsonLight" w:eastAsia="Arial Unicode MS" w:hAnsi="GibsonLight"/>
          <w:spacing w:val="12"/>
          <w:sz w:val="22"/>
        </w:rPr>
        <w:t>QALYs gained than the comparator).</w:t>
      </w:r>
      <w:r w:rsidR="0049113F" w:rsidRPr="00E20483">
        <w:rPr>
          <w:rFonts w:ascii="GibsonLight" w:eastAsia="Arial Unicode MS" w:hAnsi="GibsonLight"/>
          <w:spacing w:val="12"/>
          <w:sz w:val="22"/>
        </w:rPr>
        <w:t xml:space="preserve"> </w:t>
      </w:r>
      <w:r w:rsidR="006D4A3D" w:rsidRPr="00E20483">
        <w:rPr>
          <w:rFonts w:ascii="GibsonLight" w:eastAsia="Arial Unicode MS" w:hAnsi="GibsonLight"/>
          <w:spacing w:val="12"/>
          <w:sz w:val="22"/>
        </w:rPr>
        <w:t>Ratios in this quadrant are sometimes referred to as “dominated”.</w:t>
      </w:r>
      <w:r w:rsidR="00007778" w:rsidRPr="00E20483">
        <w:rPr>
          <w:rFonts w:ascii="GibsonLight" w:eastAsia="Arial Unicode MS" w:hAnsi="GibsonLight"/>
          <w:spacing w:val="12"/>
          <w:sz w:val="22"/>
        </w:rPr>
        <w:t xml:space="preserve"> ICERS should be a negative value.</w:t>
      </w:r>
      <w:r w:rsidR="0049113F" w:rsidRPr="00E20483">
        <w:rPr>
          <w:rFonts w:ascii="GibsonLight" w:eastAsia="Arial Unicode MS" w:hAnsi="GibsonLight"/>
          <w:spacing w:val="12"/>
          <w:sz w:val="22"/>
        </w:rPr>
        <w:t xml:space="preserve"> </w:t>
      </w:r>
    </w:p>
    <w:p w14:paraId="1160F225" w14:textId="2131FBC4" w:rsidR="009F13E7" w:rsidRPr="00E20483" w:rsidRDefault="00007778" w:rsidP="004B15D0">
      <w:pPr>
        <w:pStyle w:val="BodyTextIndent3"/>
        <w:spacing w:after="120"/>
        <w:ind w:left="1980"/>
        <w:rPr>
          <w:rFonts w:ascii="GibsonLight" w:eastAsia="Arial Unicode MS" w:hAnsi="GibsonLight"/>
          <w:spacing w:val="12"/>
          <w:sz w:val="22"/>
        </w:rPr>
      </w:pPr>
      <w:r w:rsidRPr="00E20483">
        <w:rPr>
          <w:rFonts w:ascii="GibsonLight" w:eastAsia="Arial Unicode MS" w:hAnsi="GibsonLight"/>
          <w:b/>
          <w:spacing w:val="12"/>
          <w:sz w:val="22"/>
        </w:rPr>
        <w:t>Note</w:t>
      </w:r>
      <w:r w:rsidR="007174B9" w:rsidRPr="00E20483">
        <w:rPr>
          <w:rFonts w:ascii="GibsonLight" w:eastAsia="Arial Unicode MS" w:hAnsi="GibsonLight"/>
          <w:spacing w:val="12"/>
          <w:sz w:val="22"/>
        </w:rPr>
        <w:t>:</w:t>
      </w:r>
      <w:r w:rsidRPr="00E20483">
        <w:rPr>
          <w:rFonts w:ascii="GibsonLight" w:eastAsia="Arial Unicode MS" w:hAnsi="GibsonLight"/>
          <w:spacing w:val="12"/>
          <w:sz w:val="22"/>
        </w:rPr>
        <w:t xml:space="preserve"> </w:t>
      </w:r>
      <w:r w:rsidR="006D4A3D" w:rsidRPr="00E20483">
        <w:rPr>
          <w:rFonts w:ascii="GibsonLight" w:eastAsia="Arial Unicode MS" w:hAnsi="GibsonLight"/>
          <w:spacing w:val="12"/>
          <w:sz w:val="22"/>
        </w:rPr>
        <w:t>Ratios that cost more (intervention more costly) and have no impact on heath (QALYs=0) fall into quadrant I.</w:t>
      </w:r>
    </w:p>
    <w:p w14:paraId="4F36204D" w14:textId="7806AF92" w:rsidR="009F13E7" w:rsidRPr="00E20483" w:rsidRDefault="00ED649B"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Quadrant II</w:t>
      </w:r>
      <w:r w:rsidR="007174B9" w:rsidRPr="00E20483">
        <w:rPr>
          <w:rFonts w:ascii="GibsonLight" w:eastAsia="Arial Unicode MS" w:hAnsi="GibsonLight"/>
          <w:spacing w:val="12"/>
          <w:sz w:val="22"/>
        </w:rPr>
        <w:t>:</w:t>
      </w:r>
      <w:r w:rsidR="004E4AF5" w:rsidRPr="00E20483">
        <w:rPr>
          <w:rFonts w:ascii="GibsonLight" w:eastAsia="Arial Unicode MS" w:hAnsi="GibsonLight"/>
          <w:spacing w:val="12"/>
          <w:sz w:val="22"/>
        </w:rPr>
        <w:t xml:space="preserve"> T</w:t>
      </w:r>
      <w:r w:rsidR="009F13E7" w:rsidRPr="00E20483">
        <w:rPr>
          <w:rFonts w:ascii="GibsonLight" w:eastAsia="Arial Unicode MS" w:hAnsi="GibsonLight"/>
          <w:spacing w:val="12"/>
          <w:sz w:val="22"/>
        </w:rPr>
        <w:t>he intervention increases costs</w:t>
      </w:r>
      <w:r w:rsidR="006D4A3D" w:rsidRPr="00E20483">
        <w:rPr>
          <w:rFonts w:ascii="GibsonLight" w:eastAsia="Arial Unicode MS" w:hAnsi="GibsonLight"/>
          <w:spacing w:val="12"/>
          <w:sz w:val="22"/>
        </w:rPr>
        <w:t xml:space="preserve"> and improves health</w:t>
      </w:r>
      <w:r w:rsidR="004E4AF5" w:rsidRPr="00E20483">
        <w:rPr>
          <w:rFonts w:ascii="GibsonLight" w:eastAsia="Arial Unicode MS" w:hAnsi="GibsonLight"/>
          <w:spacing w:val="12"/>
          <w:sz w:val="22"/>
        </w:rPr>
        <w:t xml:space="preserve"> (i.e. costs more and provides more QALYs gained than the comparator)</w:t>
      </w:r>
      <w:r w:rsidR="009F13E7" w:rsidRPr="00E20483">
        <w:rPr>
          <w:rFonts w:ascii="GibsonLight" w:eastAsia="Arial Unicode MS" w:hAnsi="GibsonLight"/>
          <w:spacing w:val="12"/>
          <w:sz w:val="22"/>
        </w:rPr>
        <w:t xml:space="preserve">. </w:t>
      </w:r>
    </w:p>
    <w:p w14:paraId="6A81FFEA" w14:textId="62C25306" w:rsidR="009F13E7" w:rsidRPr="00E20483" w:rsidRDefault="009F13E7"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Quadrant III</w:t>
      </w:r>
      <w:r w:rsidR="007174B9" w:rsidRPr="00E20483">
        <w:rPr>
          <w:rFonts w:ascii="GibsonLight" w:eastAsia="Arial Unicode MS" w:hAnsi="GibsonLight"/>
          <w:spacing w:val="12"/>
          <w:sz w:val="22"/>
        </w:rPr>
        <w:t>:</w:t>
      </w:r>
      <w:r w:rsidR="004E4AF5" w:rsidRPr="00E20483">
        <w:rPr>
          <w:rFonts w:ascii="GibsonLight" w:eastAsia="Arial Unicode MS" w:hAnsi="GibsonLight"/>
          <w:spacing w:val="12"/>
          <w:sz w:val="22"/>
        </w:rPr>
        <w:t xml:space="preserve"> T</w:t>
      </w:r>
      <w:r w:rsidRPr="00E20483">
        <w:rPr>
          <w:rFonts w:ascii="GibsonLight" w:eastAsia="Arial Unicode MS" w:hAnsi="GibsonLight"/>
          <w:spacing w:val="12"/>
          <w:sz w:val="22"/>
        </w:rPr>
        <w:t xml:space="preserve">he intervention saves money and </w:t>
      </w:r>
      <w:r w:rsidR="004E4AF5" w:rsidRPr="00E20483">
        <w:rPr>
          <w:rFonts w:ascii="GibsonLight" w:eastAsia="Arial Unicode MS" w:hAnsi="GibsonLight"/>
          <w:spacing w:val="12"/>
          <w:sz w:val="22"/>
        </w:rPr>
        <w:t>worsens health (i.e. costs less and provides less QALYs gained than the comparator)</w:t>
      </w:r>
    </w:p>
    <w:p w14:paraId="67A599BE" w14:textId="6A0D097A" w:rsidR="00007778" w:rsidRPr="00E20483" w:rsidRDefault="009F13E7"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Quadrant IV</w:t>
      </w:r>
      <w:r w:rsidR="007174B9" w:rsidRPr="00E20483">
        <w:rPr>
          <w:rFonts w:ascii="GibsonLight" w:eastAsia="Arial Unicode MS" w:hAnsi="GibsonLight"/>
          <w:spacing w:val="12"/>
          <w:sz w:val="22"/>
        </w:rPr>
        <w:t>:</w:t>
      </w:r>
      <w:r w:rsidR="004E4AF5" w:rsidRPr="00E20483">
        <w:rPr>
          <w:rFonts w:ascii="GibsonLight" w:eastAsia="Arial Unicode MS" w:hAnsi="GibsonLight"/>
          <w:spacing w:val="12"/>
          <w:sz w:val="22"/>
        </w:rPr>
        <w:t xml:space="preserve"> T</w:t>
      </w:r>
      <w:r w:rsidR="006D4A3D" w:rsidRPr="00E20483">
        <w:rPr>
          <w:rFonts w:ascii="GibsonLight" w:eastAsia="Arial Unicode MS" w:hAnsi="GibsonLight"/>
          <w:spacing w:val="12"/>
          <w:sz w:val="22"/>
        </w:rPr>
        <w:t>he intervention</w:t>
      </w:r>
      <w:r w:rsidRPr="00E20483">
        <w:rPr>
          <w:rFonts w:ascii="GibsonLight" w:eastAsia="Arial Unicode MS" w:hAnsi="GibsonLight"/>
          <w:spacing w:val="12"/>
          <w:sz w:val="22"/>
        </w:rPr>
        <w:t xml:space="preserve"> both saves money</w:t>
      </w:r>
      <w:r w:rsidR="004E4AF5" w:rsidRPr="00E20483">
        <w:rPr>
          <w:rFonts w:ascii="GibsonLight" w:eastAsia="Arial Unicode MS" w:hAnsi="GibsonLight"/>
          <w:spacing w:val="12"/>
          <w:sz w:val="22"/>
        </w:rPr>
        <w:t xml:space="preserve"> and improves health (i.e. costs less provides more QALYs gained than the comparator)</w:t>
      </w:r>
      <w:r w:rsidRPr="00E20483">
        <w:rPr>
          <w:rFonts w:ascii="GibsonLight" w:eastAsia="Arial Unicode MS" w:hAnsi="GibsonLight"/>
          <w:spacing w:val="12"/>
          <w:sz w:val="22"/>
        </w:rPr>
        <w:t>. Ratios in quadrant IV are sometimes referred to as "dominant"</w:t>
      </w:r>
      <w:r w:rsidR="006D4A3D" w:rsidRPr="00E20483">
        <w:rPr>
          <w:rFonts w:ascii="GibsonLight" w:eastAsia="Arial Unicode MS" w:hAnsi="GibsonLight"/>
          <w:spacing w:val="12"/>
          <w:sz w:val="22"/>
        </w:rPr>
        <w:t xml:space="preserve"> or “cost-saving”.</w:t>
      </w:r>
      <w:r w:rsidR="0049113F" w:rsidRPr="00E20483">
        <w:rPr>
          <w:rFonts w:ascii="GibsonLight" w:eastAsia="Arial Unicode MS" w:hAnsi="GibsonLight"/>
          <w:spacing w:val="12"/>
          <w:sz w:val="22"/>
        </w:rPr>
        <w:t xml:space="preserve"> </w:t>
      </w:r>
      <w:r w:rsidR="00007778" w:rsidRPr="00E20483">
        <w:rPr>
          <w:rFonts w:ascii="GibsonLight" w:eastAsia="Arial Unicode MS" w:hAnsi="GibsonLight"/>
          <w:spacing w:val="12"/>
          <w:sz w:val="22"/>
        </w:rPr>
        <w:t xml:space="preserve">ICERS should be a negative value. </w:t>
      </w:r>
    </w:p>
    <w:p w14:paraId="064DD2DE" w14:textId="3071B481" w:rsidR="009F13E7" w:rsidRPr="00E20483" w:rsidRDefault="00007778" w:rsidP="004B15D0">
      <w:pPr>
        <w:pStyle w:val="BodyTextIndent3"/>
        <w:spacing w:after="120"/>
        <w:ind w:left="1980"/>
        <w:rPr>
          <w:rFonts w:ascii="GibsonLight" w:eastAsia="Arial Unicode MS" w:hAnsi="GibsonLight"/>
          <w:spacing w:val="12"/>
          <w:sz w:val="22"/>
        </w:rPr>
      </w:pPr>
      <w:r w:rsidRPr="00E20483">
        <w:rPr>
          <w:rFonts w:ascii="GibsonLight" w:eastAsia="Arial Unicode MS" w:hAnsi="GibsonLight"/>
          <w:b/>
          <w:spacing w:val="12"/>
          <w:sz w:val="22"/>
        </w:rPr>
        <w:t>Note</w:t>
      </w:r>
      <w:r w:rsidR="007174B9" w:rsidRPr="00E20483">
        <w:rPr>
          <w:rFonts w:ascii="GibsonLight" w:eastAsia="Arial Unicode MS" w:hAnsi="GibsonLight"/>
          <w:spacing w:val="12"/>
          <w:sz w:val="22"/>
        </w:rPr>
        <w:t>:</w:t>
      </w:r>
      <w:r w:rsidRPr="00E20483">
        <w:rPr>
          <w:rFonts w:ascii="GibsonLight" w:eastAsia="Arial Unicode MS" w:hAnsi="GibsonLight"/>
          <w:spacing w:val="12"/>
          <w:sz w:val="22"/>
        </w:rPr>
        <w:t xml:space="preserve"> </w:t>
      </w:r>
      <w:r w:rsidR="006D4A3D" w:rsidRPr="00E20483">
        <w:rPr>
          <w:rFonts w:ascii="GibsonLight" w:eastAsia="Arial Unicode MS" w:hAnsi="GibsonLight"/>
          <w:spacing w:val="12"/>
          <w:sz w:val="22"/>
        </w:rPr>
        <w:t>Ratios that save money (intervention less costly) and have no impact on health (QALYs=0) fall into quadrant IV.</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tblGrid>
      <w:tr w:rsidR="009F13E7" w:rsidRPr="00415E50" w14:paraId="77797600" w14:textId="77777777" w:rsidTr="00C30D86">
        <w:trPr>
          <w:trHeight w:val="4833"/>
          <w:jc w:val="center"/>
        </w:trPr>
        <w:tc>
          <w:tcPr>
            <w:tcW w:w="7110" w:type="dxa"/>
          </w:tcPr>
          <w:p w14:paraId="689000BE" w14:textId="373F0375" w:rsidR="009F13E7" w:rsidRPr="00415E50" w:rsidRDefault="009F13E7" w:rsidP="004B15D0">
            <w:pPr>
              <w:pStyle w:val="BodyTextIndent3"/>
              <w:spacing w:after="120"/>
              <w:ind w:left="0"/>
              <w:jc w:val="center"/>
              <w:rPr>
                <w:rFonts w:ascii="GibsonLight" w:eastAsia="Arial Unicode MS" w:hAnsi="GibsonLight"/>
                <w:spacing w:val="12"/>
              </w:rPr>
            </w:pPr>
            <w:r w:rsidRPr="00415E50">
              <w:rPr>
                <w:rFonts w:ascii="GibsonLight" w:eastAsia="Arial Unicode MS" w:hAnsi="GibsonLight"/>
                <w:b/>
                <w:spacing w:val="12"/>
              </w:rPr>
              <w:lastRenderedPageBreak/>
              <w:t xml:space="preserve">Figure </w:t>
            </w:r>
            <w:r w:rsidR="00D1471B" w:rsidRPr="00415E50">
              <w:rPr>
                <w:rFonts w:ascii="GibsonLight" w:eastAsia="Arial Unicode MS" w:hAnsi="GibsonLight"/>
                <w:b/>
                <w:spacing w:val="12"/>
              </w:rPr>
              <w:t>4</w:t>
            </w:r>
            <w:r w:rsidR="007174B9" w:rsidRPr="00415E50">
              <w:rPr>
                <w:rFonts w:ascii="GibsonLight" w:eastAsia="Arial Unicode MS" w:hAnsi="GibsonLight"/>
                <w:spacing w:val="12"/>
              </w:rPr>
              <w:t>:</w:t>
            </w:r>
            <w:r w:rsidRPr="00415E50">
              <w:rPr>
                <w:rFonts w:ascii="GibsonLight" w:eastAsia="Arial Unicode MS" w:hAnsi="GibsonLight"/>
                <w:b/>
                <w:spacing w:val="12"/>
              </w:rPr>
              <w:t xml:space="preserve"> Four Quadrants of Cost-Effectiveness Plane</w:t>
            </w:r>
            <w:r w:rsidRPr="00415E50">
              <w:rPr>
                <w:rFonts w:ascii="GibsonLight" w:eastAsia="Arial Unicode MS" w:hAnsi="GibsonLight"/>
                <w:b/>
                <w:noProof/>
                <w:spacing w:val="12"/>
              </w:rPr>
              <mc:AlternateContent>
                <mc:Choice Requires="wps">
                  <w:drawing>
                    <wp:anchor distT="0" distB="0" distL="114300" distR="114300" simplePos="0" relativeHeight="251659264" behindDoc="0" locked="0" layoutInCell="1" allowOverlap="1" wp14:anchorId="748B4A79" wp14:editId="7A28D2A1">
                      <wp:simplePos x="0" y="0"/>
                      <wp:positionH relativeFrom="column">
                        <wp:posOffset>3236595</wp:posOffset>
                      </wp:positionH>
                      <wp:positionV relativeFrom="paragraph">
                        <wp:posOffset>1377950</wp:posOffset>
                      </wp:positionV>
                      <wp:extent cx="1012190" cy="247015"/>
                      <wp:effectExtent l="7620" t="6350" r="8890" b="13335"/>
                      <wp:wrapNone/>
                      <wp:docPr id="1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47015"/>
                              </a:xfrm>
                              <a:prstGeom prst="rect">
                                <a:avLst/>
                              </a:prstGeom>
                              <a:solidFill>
                                <a:srgbClr val="FFFFFF"/>
                              </a:solidFill>
                              <a:ln w="9525">
                                <a:solidFill>
                                  <a:schemeClr val="bg1">
                                    <a:lumMod val="100000"/>
                                    <a:lumOff val="0"/>
                                  </a:schemeClr>
                                </a:solidFill>
                                <a:miter lim="800000"/>
                                <a:headEnd/>
                                <a:tailEnd/>
                              </a:ln>
                            </wps:spPr>
                            <wps:txbx>
                              <w:txbxContent>
                                <w:p w14:paraId="49200D8E" w14:textId="77777777" w:rsidR="00B266CE" w:rsidRPr="00B76548" w:rsidRDefault="00B266CE" w:rsidP="009F13E7">
                                  <w:pPr>
                                    <w:rPr>
                                      <w:rFonts w:ascii="Arial" w:hAnsi="Arial" w:cs="Arial"/>
                                      <w:b/>
                                    </w:rPr>
                                  </w:pPr>
                                  <w:r>
                                    <w:rPr>
                                      <w:rFonts w:ascii="Arial" w:hAnsi="Arial" w:cs="Arial"/>
                                      <w:b/>
                                    </w:rPr>
                                    <w:t>QALY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8B4A79" id="Text Box 147" o:spid="_x0000_s1053" type="#_x0000_t202" style="position:absolute;left:0;text-align:left;margin-left:254.85pt;margin-top:108.5pt;width:79.7pt;height:19.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" strokecolor="white [3212]">
                      <v:textbox style="mso-fit-shape-to-text:t">
                        <w:txbxContent>
                          <w:p w14:paraId="49200D8E" w14:textId="77777777" w:rsidR="00B266CE" w:rsidRPr="00B76548" w:rsidRDefault="00B266CE" w:rsidP="009F13E7">
                            <w:pPr>
                              <w:rPr>
                                <w:rFonts w:ascii="Arial" w:hAnsi="Arial" w:cs="Arial"/>
                                <w:b/>
                              </w:rPr>
                            </w:pPr>
                            <w:r>
                              <w:rPr>
                                <w:rFonts w:ascii="Arial" w:hAnsi="Arial" w:cs="Arial"/>
                                <w:b/>
                              </w:rPr>
                              <w:t>QALY</w:t>
                            </w:r>
                          </w:p>
                        </w:txbxContent>
                      </v:textbox>
                    </v:shape>
                  </w:pict>
                </mc:Fallback>
              </mc:AlternateContent>
            </w:r>
            <w:r w:rsidRPr="00415E50">
              <w:rPr>
                <w:rFonts w:ascii="GibsonLight" w:eastAsia="Arial Unicode MS" w:hAnsi="GibsonLight"/>
                <w:noProof/>
                <w:spacing w:val="12"/>
              </w:rPr>
              <mc:AlternateContent>
                <mc:Choice Requires="wpg">
                  <w:drawing>
                    <wp:inline distT="0" distB="0" distL="0" distR="0" wp14:anchorId="216D6AA5" wp14:editId="0B2563E0">
                      <wp:extent cx="3695700" cy="2743200"/>
                      <wp:effectExtent l="0" t="0" r="0" b="57150"/>
                      <wp:docPr id="7" name="Group 1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695700" cy="2743200"/>
                                <a:chOff x="-300" y="-206"/>
                                <a:chExt cx="4850" cy="3704"/>
                              </a:xfrm>
                            </wpg:grpSpPr>
                            <wps:wsp>
                              <wps:cNvPr id="8" name="AutoShape 127"/>
                              <wps:cNvSpPr>
                                <a:spLocks noChangeAspect="1" noChangeArrowheads="1" noTextEdit="1"/>
                              </wps:cNvSpPr>
                              <wps:spPr bwMode="auto">
                                <a:xfrm>
                                  <a:off x="-300" y="-206"/>
                                  <a:ext cx="4850" cy="3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9" name="Text Box 128"/>
                              <wps:cNvSpPr txBox="1">
                                <a:spLocks noChangeArrowheads="1"/>
                              </wps:cNvSpPr>
                              <wps:spPr bwMode="auto">
                                <a:xfrm>
                                  <a:off x="1900" y="1800"/>
                                  <a:ext cx="1600" cy="1698"/>
                                </a:xfrm>
                                <a:prstGeom prst="rect">
                                  <a:avLst/>
                                </a:prstGeom>
                                <a:solidFill>
                                  <a:schemeClr val="accent3">
                                    <a:lumMod val="40000"/>
                                    <a:lumOff val="60000"/>
                                  </a:scheme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6DB4E5D0" w14:textId="77777777" w:rsidR="00B266CE" w:rsidRPr="00DD5539" w:rsidRDefault="00B266CE" w:rsidP="009F13E7">
                                    <w:pPr>
                                      <w:jc w:val="center"/>
                                      <w:rPr>
                                        <w:rFonts w:ascii="Arial" w:hAnsi="Arial" w:cs="Arial"/>
                                        <w:b/>
                                      </w:rPr>
                                    </w:pPr>
                                  </w:p>
                                  <w:p w14:paraId="4FE1459C" w14:textId="77777777" w:rsidR="00B266CE" w:rsidRPr="00DD5539" w:rsidRDefault="00B266CE" w:rsidP="009F13E7">
                                    <w:pPr>
                                      <w:rPr>
                                        <w:rFonts w:ascii="Arial" w:hAnsi="Arial" w:cs="Arial"/>
                                        <w:b/>
                                      </w:rPr>
                                    </w:pPr>
                                  </w:p>
                                  <w:p w14:paraId="103864D7" w14:textId="77777777" w:rsidR="00B266CE" w:rsidRDefault="00B266CE" w:rsidP="009F13E7">
                                    <w:pPr>
                                      <w:jc w:val="center"/>
                                      <w:rPr>
                                        <w:rFonts w:ascii="Arial" w:hAnsi="Arial" w:cs="Arial"/>
                                      </w:rPr>
                                    </w:pPr>
                                    <w:r>
                                      <w:rPr>
                                        <w:rFonts w:ascii="Arial" w:hAnsi="Arial" w:cs="Arial"/>
                                        <w:b/>
                                      </w:rPr>
                                      <w:t>QUADRANT IV ‘</w:t>
                                    </w:r>
                                    <w:r w:rsidRPr="00DD5539">
                                      <w:rPr>
                                        <w:rFonts w:ascii="Arial" w:hAnsi="Arial" w:cs="Arial"/>
                                        <w:b/>
                                      </w:rPr>
                                      <w:t>Southeast</w:t>
                                    </w:r>
                                    <w:r>
                                      <w:rPr>
                                        <w:rFonts w:ascii="Arial" w:hAnsi="Arial" w:cs="Arial"/>
                                        <w:b/>
                                      </w:rPr>
                                      <w:t>’</w:t>
                                    </w:r>
                                  </w:p>
                                  <w:p w14:paraId="5E81468C" w14:textId="77777777" w:rsidR="00B266CE" w:rsidRDefault="00B266CE" w:rsidP="009F13E7">
                                    <w:pPr>
                                      <w:jc w:val="center"/>
                                      <w:rPr>
                                        <w:rFonts w:ascii="Arial" w:hAnsi="Arial" w:cs="Arial"/>
                                      </w:rPr>
                                    </w:pPr>
                                    <w:r>
                                      <w:rPr>
                                        <w:rFonts w:ascii="Arial" w:hAnsi="Arial" w:cs="Arial"/>
                                      </w:rPr>
                                      <w:t xml:space="preserve">Less costly, </w:t>
                                    </w:r>
                                  </w:p>
                                  <w:p w14:paraId="207C5CC7" w14:textId="77777777" w:rsidR="00B266CE" w:rsidRDefault="00B266CE" w:rsidP="009F13E7">
                                    <w:pPr>
                                      <w:jc w:val="center"/>
                                      <w:rPr>
                                        <w:rFonts w:ascii="Arial" w:hAnsi="Arial" w:cs="Arial"/>
                                      </w:rPr>
                                    </w:pPr>
                                    <w:r>
                                      <w:rPr>
                                        <w:rFonts w:ascii="Arial" w:hAnsi="Arial" w:cs="Arial"/>
                                      </w:rPr>
                                      <w:t>More QALYs</w:t>
                                    </w:r>
                                  </w:p>
                                  <w:p w14:paraId="5DFFF1B1" w14:textId="77777777" w:rsidR="00B266CE" w:rsidRPr="00DD5539" w:rsidRDefault="00B266CE" w:rsidP="009F13E7">
                                    <w:pPr>
                                      <w:jc w:val="center"/>
                                      <w:rPr>
                                        <w:rFonts w:ascii="Arial" w:hAnsi="Arial" w:cs="Arial"/>
                                      </w:rPr>
                                    </w:pPr>
                                    <w:r w:rsidRPr="00DD5539">
                                      <w:rPr>
                                        <w:rFonts w:ascii="Arial" w:hAnsi="Arial" w:cs="Arial"/>
                                      </w:rPr>
                                      <w:t>(</w:t>
                                    </w:r>
                                    <w:r>
                                      <w:rPr>
                                        <w:rFonts w:ascii="Arial" w:hAnsi="Arial" w:cs="Arial"/>
                                      </w:rPr>
                                      <w:t>Dominant</w:t>
                                    </w:r>
                                    <w:r w:rsidRPr="00DD5539">
                                      <w:rPr>
                                        <w:rFonts w:ascii="Arial" w:hAnsi="Arial" w:cs="Arial"/>
                                      </w:rPr>
                                      <w:t>)</w:t>
                                    </w:r>
                                  </w:p>
                                </w:txbxContent>
                              </wps:txbx>
                              <wps:bodyPr rot="0" vert="horz" wrap="square" lIns="91440" tIns="45720" rIns="91440" bIns="45720" anchor="t" anchorCtr="0" upright="1">
                                <a:noAutofit/>
                              </wps:bodyPr>
                            </wps:wsp>
                            <wps:wsp>
                              <wps:cNvPr id="10" name="Text Box 129"/>
                              <wps:cNvSpPr txBox="1">
                                <a:spLocks noChangeArrowheads="1"/>
                              </wps:cNvSpPr>
                              <wps:spPr bwMode="auto">
                                <a:xfrm>
                                  <a:off x="200" y="1800"/>
                                  <a:ext cx="1700" cy="1698"/>
                                </a:xfrm>
                                <a:prstGeom prst="rect">
                                  <a:avLst/>
                                </a:prstGeom>
                                <a:solidFill>
                                  <a:schemeClr val="bg1">
                                    <a:lumMod val="85000"/>
                                  </a:schemeClr>
                                </a:solidFill>
                                <a:ln w="15875">
                                  <a:noFill/>
                                  <a:miter lim="800000"/>
                                  <a:headEnd/>
                                  <a:tailEnd/>
                                </a:ln>
                              </wps:spPr>
                              <wps:txbx>
                                <w:txbxContent>
                                  <w:p w14:paraId="3EE8045E" w14:textId="77777777" w:rsidR="00B266CE" w:rsidRPr="00DD5539" w:rsidRDefault="00B266CE" w:rsidP="009F13E7">
                                    <w:pPr>
                                      <w:rPr>
                                        <w:rFonts w:ascii="Arial" w:hAnsi="Arial" w:cs="Arial"/>
                                        <w:b/>
                                      </w:rPr>
                                    </w:pPr>
                                  </w:p>
                                  <w:p w14:paraId="65FC67A8" w14:textId="77777777" w:rsidR="00B266CE" w:rsidRPr="00DD5539" w:rsidRDefault="00B266CE" w:rsidP="009F13E7">
                                    <w:pPr>
                                      <w:jc w:val="center"/>
                                      <w:rPr>
                                        <w:rFonts w:ascii="Arial" w:hAnsi="Arial" w:cs="Arial"/>
                                        <w:b/>
                                      </w:rPr>
                                    </w:pPr>
                                  </w:p>
                                  <w:p w14:paraId="1F218C3F" w14:textId="77777777" w:rsidR="00B266CE" w:rsidRPr="000775BB" w:rsidRDefault="00B266CE" w:rsidP="009F13E7">
                                    <w:pPr>
                                      <w:jc w:val="center"/>
                                      <w:rPr>
                                        <w:rFonts w:ascii="Arial" w:hAnsi="Arial" w:cs="Arial"/>
                                        <w:b/>
                                      </w:rPr>
                                    </w:pPr>
                                    <w:r>
                                      <w:rPr>
                                        <w:rFonts w:ascii="Arial" w:hAnsi="Arial" w:cs="Arial"/>
                                        <w:b/>
                                      </w:rPr>
                                      <w:t>QUADRANT III</w:t>
                                    </w:r>
                                    <w:r w:rsidRPr="000775BB">
                                      <w:rPr>
                                        <w:rFonts w:ascii="Arial" w:hAnsi="Arial" w:cs="Arial"/>
                                        <w:b/>
                                      </w:rPr>
                                      <w:t xml:space="preserve"> ‘Southwest’</w:t>
                                    </w:r>
                                  </w:p>
                                  <w:p w14:paraId="650E1C29" w14:textId="77777777" w:rsidR="00B266CE" w:rsidRDefault="00B266CE" w:rsidP="009F13E7">
                                    <w:pPr>
                                      <w:jc w:val="center"/>
                                      <w:rPr>
                                        <w:rFonts w:ascii="Arial" w:hAnsi="Arial" w:cs="Arial"/>
                                      </w:rPr>
                                    </w:pPr>
                                    <w:r w:rsidRPr="000775BB">
                                      <w:rPr>
                                        <w:rFonts w:ascii="Arial" w:hAnsi="Arial" w:cs="Arial"/>
                                      </w:rPr>
                                      <w:t>Less costly,</w:t>
                                    </w:r>
                                  </w:p>
                                  <w:p w14:paraId="695B317A" w14:textId="77777777" w:rsidR="00B266CE" w:rsidRPr="000775BB" w:rsidRDefault="00B266CE" w:rsidP="009F13E7">
                                    <w:pPr>
                                      <w:jc w:val="center"/>
                                      <w:rPr>
                                        <w:rFonts w:ascii="Arial" w:hAnsi="Arial" w:cs="Arial"/>
                                      </w:rPr>
                                    </w:pPr>
                                    <w:r>
                                      <w:rPr>
                                        <w:rFonts w:ascii="Arial" w:hAnsi="Arial" w:cs="Arial"/>
                                      </w:rPr>
                                      <w:t>L</w:t>
                                    </w:r>
                                    <w:r w:rsidRPr="000775BB">
                                      <w:rPr>
                                        <w:rFonts w:ascii="Arial" w:hAnsi="Arial" w:cs="Arial"/>
                                      </w:rPr>
                                      <w:t>ess QALY</w:t>
                                    </w:r>
                                    <w:r>
                                      <w:rPr>
                                        <w:rFonts w:ascii="Arial" w:hAnsi="Arial" w:cs="Arial"/>
                                      </w:rPr>
                                      <w:t>s</w:t>
                                    </w:r>
                                  </w:p>
                                  <w:p w14:paraId="6A85F454" w14:textId="77777777" w:rsidR="00B266CE" w:rsidRPr="00DD5539" w:rsidRDefault="00B266CE" w:rsidP="009F13E7">
                                    <w:pPr>
                                      <w:rPr>
                                        <w:rFonts w:ascii="Arial" w:hAnsi="Arial" w:cs="Arial"/>
                                      </w:rPr>
                                    </w:pPr>
                                  </w:p>
                                </w:txbxContent>
                              </wps:txbx>
                              <wps:bodyPr rot="0" vert="horz" wrap="square" lIns="91440" tIns="45720" rIns="91440" bIns="45720" anchor="t" anchorCtr="0" upright="1">
                                <a:noAutofit/>
                              </wps:bodyPr>
                            </wps:wsp>
                            <wps:wsp>
                              <wps:cNvPr id="11" name="Text Box 130"/>
                              <wps:cNvSpPr txBox="1">
                                <a:spLocks noChangeArrowheads="1"/>
                              </wps:cNvSpPr>
                              <wps:spPr bwMode="auto">
                                <a:xfrm>
                                  <a:off x="200" y="103"/>
                                  <a:ext cx="1700" cy="1749"/>
                                </a:xfrm>
                                <a:prstGeom prst="rect">
                                  <a:avLst/>
                                </a:prstGeom>
                                <a:solidFill>
                                  <a:schemeClr val="accent2"/>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2FFB20A5" w14:textId="77777777" w:rsidR="00B266CE" w:rsidRPr="00DD5539" w:rsidRDefault="00B266CE" w:rsidP="009F13E7">
                                    <w:pPr>
                                      <w:rPr>
                                        <w:rFonts w:ascii="Arial" w:hAnsi="Arial" w:cs="Arial"/>
                                        <w:b/>
                                      </w:rPr>
                                    </w:pPr>
                                  </w:p>
                                  <w:p w14:paraId="50202385" w14:textId="77777777" w:rsidR="00B266CE" w:rsidRPr="00DD5539" w:rsidRDefault="00B266CE" w:rsidP="009F13E7">
                                    <w:pPr>
                                      <w:rPr>
                                        <w:rFonts w:ascii="Arial" w:hAnsi="Arial" w:cs="Arial"/>
                                        <w:b/>
                                      </w:rPr>
                                    </w:pPr>
                                  </w:p>
                                  <w:p w14:paraId="7BFF8D63" w14:textId="71018FB4" w:rsidR="00B266CE" w:rsidRDefault="00B266CE" w:rsidP="009F13E7">
                                    <w:pPr>
                                      <w:jc w:val="center"/>
                                      <w:rPr>
                                        <w:rFonts w:ascii="Arial" w:hAnsi="Arial" w:cs="Arial"/>
                                        <w:b/>
                                      </w:rPr>
                                    </w:pPr>
                                    <w:r>
                                      <w:rPr>
                                        <w:rFonts w:ascii="Arial" w:hAnsi="Arial" w:cs="Arial"/>
                                        <w:b/>
                                      </w:rPr>
                                      <w:t>QUADRANT I ‘</w:t>
                                    </w:r>
                                    <w:r w:rsidRPr="00DD5539">
                                      <w:rPr>
                                        <w:rFonts w:ascii="Arial" w:hAnsi="Arial" w:cs="Arial"/>
                                        <w:b/>
                                      </w:rPr>
                                      <w:t>Northwest</w:t>
                                    </w:r>
                                    <w:r>
                                      <w:rPr>
                                        <w:rFonts w:ascii="Arial" w:hAnsi="Arial" w:cs="Arial"/>
                                        <w:b/>
                                      </w:rPr>
                                      <w:t>’</w:t>
                                    </w:r>
                                  </w:p>
                                  <w:p w14:paraId="15E01AA2" w14:textId="77777777" w:rsidR="00B266CE" w:rsidRDefault="00B266CE" w:rsidP="009F13E7">
                                    <w:pPr>
                                      <w:jc w:val="center"/>
                                      <w:rPr>
                                        <w:rFonts w:ascii="Arial" w:hAnsi="Arial" w:cs="Arial"/>
                                      </w:rPr>
                                    </w:pPr>
                                    <w:r>
                                      <w:rPr>
                                        <w:rFonts w:ascii="Arial" w:hAnsi="Arial" w:cs="Arial"/>
                                      </w:rPr>
                                      <w:t>M</w:t>
                                    </w:r>
                                    <w:r w:rsidRPr="00DD5539">
                                      <w:rPr>
                                        <w:rFonts w:ascii="Arial" w:hAnsi="Arial" w:cs="Arial"/>
                                      </w:rPr>
                                      <w:t xml:space="preserve">ore costly, </w:t>
                                    </w:r>
                                  </w:p>
                                  <w:p w14:paraId="516A8281" w14:textId="77777777" w:rsidR="00B266CE" w:rsidRDefault="00B266CE" w:rsidP="009F13E7">
                                    <w:pPr>
                                      <w:jc w:val="center"/>
                                      <w:rPr>
                                        <w:rFonts w:ascii="Arial" w:hAnsi="Arial" w:cs="Arial"/>
                                      </w:rPr>
                                    </w:pPr>
                                    <w:r>
                                      <w:rPr>
                                        <w:rFonts w:ascii="Arial" w:hAnsi="Arial" w:cs="Arial"/>
                                      </w:rPr>
                                      <w:t>L</w:t>
                                    </w:r>
                                    <w:r w:rsidRPr="00DD5539">
                                      <w:rPr>
                                        <w:rFonts w:ascii="Arial" w:hAnsi="Arial" w:cs="Arial"/>
                                      </w:rPr>
                                      <w:t xml:space="preserve">ess </w:t>
                                    </w:r>
                                    <w:r>
                                      <w:rPr>
                                        <w:rFonts w:ascii="Arial" w:hAnsi="Arial" w:cs="Arial"/>
                                      </w:rPr>
                                      <w:t>QALYs</w:t>
                                    </w:r>
                                  </w:p>
                                  <w:p w14:paraId="7E1D7DE7" w14:textId="77777777" w:rsidR="00B266CE" w:rsidRPr="00DD5539" w:rsidRDefault="00B266CE" w:rsidP="009F13E7">
                                    <w:pPr>
                                      <w:jc w:val="center"/>
                                      <w:rPr>
                                        <w:rFonts w:ascii="Arial" w:hAnsi="Arial" w:cs="Arial"/>
                                      </w:rPr>
                                    </w:pPr>
                                    <w:r w:rsidRPr="00DD5539">
                                      <w:rPr>
                                        <w:rFonts w:ascii="Arial" w:hAnsi="Arial" w:cs="Arial"/>
                                      </w:rPr>
                                      <w:t>(Dominated)</w:t>
                                    </w:r>
                                  </w:p>
                                  <w:p w14:paraId="4C740E76" w14:textId="77777777" w:rsidR="00B266CE" w:rsidRPr="00DD5539" w:rsidRDefault="00B266CE" w:rsidP="009F13E7">
                                    <w:pPr>
                                      <w:rPr>
                                        <w:rFonts w:ascii="Arial" w:hAnsi="Arial" w:cs="Arial"/>
                                      </w:rPr>
                                    </w:pPr>
                                  </w:p>
                                </w:txbxContent>
                              </wps:txbx>
                              <wps:bodyPr rot="0" vert="horz" wrap="square" lIns="91440" tIns="45720" rIns="91440" bIns="45720" anchor="t" anchorCtr="0" upright="1">
                                <a:noAutofit/>
                              </wps:bodyPr>
                            </wps:wsp>
                            <wps:wsp>
                              <wps:cNvPr id="12" name="Text Box 131"/>
                              <wps:cNvSpPr txBox="1">
                                <a:spLocks noChangeArrowheads="1"/>
                              </wps:cNvSpPr>
                              <wps:spPr bwMode="auto">
                                <a:xfrm>
                                  <a:off x="1900" y="103"/>
                                  <a:ext cx="1600" cy="1749"/>
                                </a:xfrm>
                                <a:prstGeom prst="rect">
                                  <a:avLst/>
                                </a:prstGeom>
                                <a:solidFill>
                                  <a:schemeClr val="accent5">
                                    <a:lumMod val="40000"/>
                                    <a:lumOff val="60000"/>
                                  </a:scheme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1B5BB556" w14:textId="77777777" w:rsidR="00B266CE" w:rsidRPr="00DD5539" w:rsidRDefault="00B266CE" w:rsidP="009F13E7">
                                    <w:pPr>
                                      <w:rPr>
                                        <w:rFonts w:ascii="Arial" w:hAnsi="Arial" w:cs="Arial"/>
                                        <w:b/>
                                      </w:rPr>
                                    </w:pPr>
                                  </w:p>
                                  <w:p w14:paraId="2848705F" w14:textId="77777777" w:rsidR="00B266CE" w:rsidRPr="00DD5539" w:rsidRDefault="00B266CE" w:rsidP="009F13E7">
                                    <w:pPr>
                                      <w:jc w:val="center"/>
                                      <w:rPr>
                                        <w:rFonts w:ascii="Arial" w:hAnsi="Arial" w:cs="Arial"/>
                                        <w:b/>
                                      </w:rPr>
                                    </w:pPr>
                                  </w:p>
                                  <w:p w14:paraId="7E0BB4F7" w14:textId="63F2D151" w:rsidR="00B266CE" w:rsidRDefault="00B266CE" w:rsidP="009F13E7">
                                    <w:pPr>
                                      <w:jc w:val="center"/>
                                      <w:rPr>
                                        <w:rFonts w:ascii="Arial" w:hAnsi="Arial" w:cs="Arial"/>
                                      </w:rPr>
                                    </w:pPr>
                                    <w:r>
                                      <w:rPr>
                                        <w:rFonts w:ascii="Arial" w:hAnsi="Arial" w:cs="Arial"/>
                                        <w:b/>
                                      </w:rPr>
                                      <w:t>QUADRANT II ‘</w:t>
                                    </w:r>
                                    <w:r w:rsidRPr="00DD5539">
                                      <w:rPr>
                                        <w:rFonts w:ascii="Arial" w:hAnsi="Arial" w:cs="Arial"/>
                                        <w:b/>
                                      </w:rPr>
                                      <w:t>Northeast</w:t>
                                    </w:r>
                                    <w:r>
                                      <w:rPr>
                                        <w:rFonts w:ascii="Arial" w:hAnsi="Arial" w:cs="Arial"/>
                                        <w:b/>
                                      </w:rPr>
                                      <w:t>’</w:t>
                                    </w:r>
                                  </w:p>
                                  <w:p w14:paraId="222A5A5F" w14:textId="77777777" w:rsidR="00B266CE" w:rsidRDefault="00B266CE" w:rsidP="009F13E7">
                                    <w:pPr>
                                      <w:jc w:val="center"/>
                                      <w:rPr>
                                        <w:rFonts w:ascii="Arial" w:hAnsi="Arial" w:cs="Arial"/>
                                      </w:rPr>
                                    </w:pPr>
                                    <w:r>
                                      <w:rPr>
                                        <w:rFonts w:ascii="Arial" w:hAnsi="Arial" w:cs="Arial"/>
                                      </w:rPr>
                                      <w:t>M</w:t>
                                    </w:r>
                                    <w:r w:rsidRPr="00DD5539">
                                      <w:rPr>
                                        <w:rFonts w:ascii="Arial" w:hAnsi="Arial" w:cs="Arial"/>
                                      </w:rPr>
                                      <w:t xml:space="preserve">ore costly, </w:t>
                                    </w:r>
                                  </w:p>
                                  <w:p w14:paraId="4DD9C4E7" w14:textId="77777777" w:rsidR="00B266CE" w:rsidRPr="00DD5539" w:rsidRDefault="00B266CE" w:rsidP="009F13E7">
                                    <w:pPr>
                                      <w:jc w:val="center"/>
                                      <w:rPr>
                                        <w:rFonts w:ascii="Arial" w:hAnsi="Arial" w:cs="Arial"/>
                                      </w:rPr>
                                    </w:pPr>
                                    <w:r>
                                      <w:rPr>
                                        <w:rFonts w:ascii="Arial" w:hAnsi="Arial" w:cs="Arial"/>
                                      </w:rPr>
                                      <w:t>M</w:t>
                                    </w:r>
                                    <w:r w:rsidRPr="00DD5539">
                                      <w:rPr>
                                        <w:rFonts w:ascii="Arial" w:hAnsi="Arial" w:cs="Arial"/>
                                      </w:rPr>
                                      <w:t xml:space="preserve">ore </w:t>
                                    </w:r>
                                    <w:r>
                                      <w:rPr>
                                        <w:rFonts w:ascii="Arial" w:hAnsi="Arial" w:cs="Arial"/>
                                      </w:rPr>
                                      <w:t>QALYs</w:t>
                                    </w:r>
                                  </w:p>
                                  <w:p w14:paraId="3663BC51" w14:textId="77777777" w:rsidR="00B266CE" w:rsidRPr="00DD5539" w:rsidRDefault="00B266CE" w:rsidP="009F13E7">
                                    <w:pPr>
                                      <w:rPr>
                                        <w:rFonts w:ascii="Arial" w:hAnsi="Arial" w:cs="Arial"/>
                                      </w:rPr>
                                    </w:pPr>
                                  </w:p>
                                </w:txbxContent>
                              </wps:txbx>
                              <wps:bodyPr rot="0" vert="horz" wrap="square" lIns="91440" tIns="45720" rIns="91440" bIns="45720" anchor="t" anchorCtr="0" upright="1">
                                <a:noAutofit/>
                              </wps:bodyPr>
                            </wps:wsp>
                            <wps:wsp>
                              <wps:cNvPr id="13" name="Text Box 132"/>
                              <wps:cNvSpPr txBox="1">
                                <a:spLocks noChangeArrowheads="1"/>
                              </wps:cNvSpPr>
                              <wps:spPr bwMode="auto">
                                <a:xfrm>
                                  <a:off x="1500" y="-206"/>
                                  <a:ext cx="75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2B3C4692" w14:textId="77777777" w:rsidR="00B266CE" w:rsidRPr="00DD5539" w:rsidRDefault="00B266CE" w:rsidP="009F13E7">
                                    <w:pPr>
                                      <w:rPr>
                                        <w:rFonts w:ascii="Arial" w:hAnsi="Arial" w:cs="Arial"/>
                                        <w:b/>
                                      </w:rPr>
                                    </w:pPr>
                                    <w:r>
                                      <w:rPr>
                                        <w:rFonts w:ascii="Arial" w:hAnsi="Arial" w:cs="Arial"/>
                                        <w:b/>
                                      </w:rPr>
                                      <w:t>Cost</w:t>
                                    </w:r>
                                  </w:p>
                                </w:txbxContent>
                              </wps:txbx>
                              <wps:bodyPr rot="0" vert="horz" wrap="square" lIns="91440" tIns="45720" rIns="91440" bIns="45720" anchor="t" anchorCtr="0" upright="1">
                                <a:noAutofit/>
                              </wps:bodyPr>
                            </wps:wsp>
                            <wps:wsp>
                              <wps:cNvPr id="14" name="Text Box 133"/>
                              <wps:cNvSpPr txBox="1">
                                <a:spLocks noChangeArrowheads="1"/>
                              </wps:cNvSpPr>
                              <wps:spPr bwMode="auto">
                                <a:xfrm>
                                  <a:off x="3500" y="1749"/>
                                  <a:ext cx="105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26C0C08" w14:textId="77777777" w:rsidR="00B266CE" w:rsidRPr="00B76548" w:rsidRDefault="00B266CE" w:rsidP="009F13E7">
                                    <w:pPr>
                                      <w:rPr>
                                        <w:rFonts w:ascii="Arial" w:hAnsi="Arial" w:cs="Arial"/>
                                        <w:b/>
                                        <w:sz w:val="18"/>
                                        <w:szCs w:val="18"/>
                                      </w:rPr>
                                    </w:pPr>
                                  </w:p>
                                </w:txbxContent>
                              </wps:txbx>
                              <wps:bodyPr rot="0" vert="horz" wrap="square" lIns="91440" tIns="45720" rIns="91440" bIns="45720" anchor="t" anchorCtr="0" upright="1">
                                <a:noAutofit/>
                              </wps:bodyPr>
                            </wps:wsp>
                            <wps:wsp>
                              <wps:cNvPr id="15" name="Line 134"/>
                              <wps:cNvCnPr/>
                              <wps:spPr bwMode="auto">
                                <a:xfrm>
                                  <a:off x="1900" y="103"/>
                                  <a:ext cx="1" cy="339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35"/>
                              <wps:cNvCnPr/>
                              <wps:spPr bwMode="auto">
                                <a:xfrm>
                                  <a:off x="200" y="1852"/>
                                  <a:ext cx="3300" cy="1"/>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16D6AA5" id="Group 126" o:spid="_x0000_s1054" style="width:291pt;height:3in;mso-position-horizontal-relative:char;mso-position-vertical-relative:line" coordorigin="-300,-206" coordsize="4850,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">
                      <o:lock v:ext="edit" aspectratio="t"/>
                      <v:rect id="AutoShape 127" o:spid="_x0000_s1055" style="position:absolute;left:-300;top:-206;width:4850;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R4cAA&#10;AADaAAAADwAAAGRycy9kb3ducmV2LnhtbERPTYvCMBC9L/gfwgheljVVRLRrFBWEehF018Pehma2&#10;LTaTmkRb/705CB4f73ux6kwt7uR8ZVnBaJiAIM6trrhQ8Puz+5qB8AFZY22ZFDzIw2rZ+1hgqm3L&#10;R7qfQiFiCPsUFZQhNKmUPi/JoB/ahjhy/9YZDBG6QmqHbQw3tRwnyVQarDg2lNjQtqT8croZBe2m&#10;nWR/WTg8xp+0x/n56rYzVGrQ79bfIAJ14S1+uTOtIG6NV+IN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jR4cAAAADaAAAADwAAAAAAAAAAAAAAAACYAgAAZHJzL2Rvd25y&#10;ZXYueG1sUEsFBgAAAAAEAAQA9QAAAIUDAAAAAA==&#10;" filled="f" stroked="f" strokeweight="1.25pt">
                        <o:lock v:ext="edit" aspectratio="t" text="t"/>
                      </v:rect>
                      <v:shape id="Text Box 128" o:spid="_x0000_s1056" type="#_x0000_t202" style="position:absolute;left:1900;top:1800;width:160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4hsIA&#10;AADaAAAADwAAAGRycy9kb3ducmV2LnhtbESPQYvCMBSE78L+h/AWvNl0BcWtRnEFRcSL7rLo7dE8&#10;22rzUppo6783guBxmJlvmMmsNaW4Ue0Kywq+ohgEcWp1wZmCv99lbwTCeWSNpWVScCcHs+lHZ4KJ&#10;tg3v6Lb3mQgQdgkqyL2vEildmpNBF9mKOHgnWxv0QdaZ1DU2AW5K2Y/joTRYcFjIsaJFTullfzUK&#10;DgtuVlXhD/1yo88/29EAm/+jUt3Pdj4G4an17/CrvdYKvuF5Jdw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TiGwgAAANoAAAAPAAAAAAAAAAAAAAAAAJgCAABkcnMvZG93&#10;bnJldi54bWxQSwUGAAAAAAQABAD1AAAAhwMAAAAA&#10;" fillcolor="#d6e3bc [1302]" stroked="f" strokeweight="1.25pt">
                        <v:textbox>
                          <w:txbxContent>
                            <w:p w14:paraId="6DB4E5D0" w14:textId="77777777" w:rsidR="00B266CE" w:rsidRPr="00DD5539" w:rsidRDefault="00B266CE" w:rsidP="009F13E7">
                              <w:pPr>
                                <w:jc w:val="center"/>
                                <w:rPr>
                                  <w:rFonts w:ascii="Arial" w:hAnsi="Arial" w:cs="Arial"/>
                                  <w:b/>
                                </w:rPr>
                              </w:pPr>
                            </w:p>
                            <w:p w14:paraId="4FE1459C" w14:textId="77777777" w:rsidR="00B266CE" w:rsidRPr="00DD5539" w:rsidRDefault="00B266CE" w:rsidP="009F13E7">
                              <w:pPr>
                                <w:rPr>
                                  <w:rFonts w:ascii="Arial" w:hAnsi="Arial" w:cs="Arial"/>
                                  <w:b/>
                                </w:rPr>
                              </w:pPr>
                            </w:p>
                            <w:p w14:paraId="103864D7" w14:textId="77777777" w:rsidR="00B266CE" w:rsidRDefault="00B266CE" w:rsidP="009F13E7">
                              <w:pPr>
                                <w:jc w:val="center"/>
                                <w:rPr>
                                  <w:rFonts w:ascii="Arial" w:hAnsi="Arial" w:cs="Arial"/>
                                </w:rPr>
                              </w:pPr>
                              <w:r>
                                <w:rPr>
                                  <w:rFonts w:ascii="Arial" w:hAnsi="Arial" w:cs="Arial"/>
                                  <w:b/>
                                </w:rPr>
                                <w:t>QUADRANT IV ‘</w:t>
                              </w:r>
                              <w:r w:rsidRPr="00DD5539">
                                <w:rPr>
                                  <w:rFonts w:ascii="Arial" w:hAnsi="Arial" w:cs="Arial"/>
                                  <w:b/>
                                </w:rPr>
                                <w:t>Southeast</w:t>
                              </w:r>
                              <w:r>
                                <w:rPr>
                                  <w:rFonts w:ascii="Arial" w:hAnsi="Arial" w:cs="Arial"/>
                                  <w:b/>
                                </w:rPr>
                                <w:t>’</w:t>
                              </w:r>
                            </w:p>
                            <w:p w14:paraId="5E81468C" w14:textId="77777777" w:rsidR="00B266CE" w:rsidRDefault="00B266CE" w:rsidP="009F13E7">
                              <w:pPr>
                                <w:jc w:val="center"/>
                                <w:rPr>
                                  <w:rFonts w:ascii="Arial" w:hAnsi="Arial" w:cs="Arial"/>
                                </w:rPr>
                              </w:pPr>
                              <w:r>
                                <w:rPr>
                                  <w:rFonts w:ascii="Arial" w:hAnsi="Arial" w:cs="Arial"/>
                                </w:rPr>
                                <w:t xml:space="preserve">Less costly, </w:t>
                              </w:r>
                            </w:p>
                            <w:p w14:paraId="207C5CC7" w14:textId="77777777" w:rsidR="00B266CE" w:rsidRDefault="00B266CE" w:rsidP="009F13E7">
                              <w:pPr>
                                <w:jc w:val="center"/>
                                <w:rPr>
                                  <w:rFonts w:ascii="Arial" w:hAnsi="Arial" w:cs="Arial"/>
                                </w:rPr>
                              </w:pPr>
                              <w:r>
                                <w:rPr>
                                  <w:rFonts w:ascii="Arial" w:hAnsi="Arial" w:cs="Arial"/>
                                </w:rPr>
                                <w:t>More QALYs</w:t>
                              </w:r>
                            </w:p>
                            <w:p w14:paraId="5DFFF1B1" w14:textId="77777777" w:rsidR="00B266CE" w:rsidRPr="00DD5539" w:rsidRDefault="00B266CE" w:rsidP="009F13E7">
                              <w:pPr>
                                <w:jc w:val="center"/>
                                <w:rPr>
                                  <w:rFonts w:ascii="Arial" w:hAnsi="Arial" w:cs="Arial"/>
                                </w:rPr>
                              </w:pPr>
                              <w:r w:rsidRPr="00DD5539">
                                <w:rPr>
                                  <w:rFonts w:ascii="Arial" w:hAnsi="Arial" w:cs="Arial"/>
                                </w:rPr>
                                <w:t>(</w:t>
                              </w:r>
                              <w:r>
                                <w:rPr>
                                  <w:rFonts w:ascii="Arial" w:hAnsi="Arial" w:cs="Arial"/>
                                </w:rPr>
                                <w:t>Dominant</w:t>
                              </w:r>
                              <w:r w:rsidRPr="00DD5539">
                                <w:rPr>
                                  <w:rFonts w:ascii="Arial" w:hAnsi="Arial" w:cs="Arial"/>
                                </w:rPr>
                                <w:t>)</w:t>
                              </w:r>
                            </w:p>
                          </w:txbxContent>
                        </v:textbox>
                      </v:shape>
                      <v:shape id="Text Box 129" o:spid="_x0000_s1057" type="#_x0000_t202" style="position:absolute;left:200;top:1800;width:170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7ecQA&#10;AADbAAAADwAAAGRycy9kb3ducmV2LnhtbESPS2sCQRCE74L/YWghN501EJGNo2jAkIcHX5AcOzvt&#10;7pKdnmVmouu/Tx8Eb91UddXXs0XnGnWmEGvPBsajDBRx4W3NpYHjYT2cgooJ2WLjmQxcKcJi3u/N&#10;MLf+wjs671OpJIRjjgaqlNpc61hU5DCOfEss2skHh0nWUGob8CLhrtGPWTbRDmuWhgpbeqmo+N3/&#10;OQPhe13zz9dK4/Zp83p8d5/8oYMxD4Nu+QwqUZfu5tv1mxV8oZdfZAA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nO3nEAAAA2wAAAA8AAAAAAAAAAAAAAAAAmAIAAGRycy9k&#10;b3ducmV2LnhtbFBLBQYAAAAABAAEAPUAAACJAwAAAAA=&#10;" fillcolor="#d8d8d8 [2732]" stroked="f" strokeweight="1.25pt">
                        <v:textbox>
                          <w:txbxContent>
                            <w:p w14:paraId="3EE8045E" w14:textId="77777777" w:rsidR="00B266CE" w:rsidRPr="00DD5539" w:rsidRDefault="00B266CE" w:rsidP="009F13E7">
                              <w:pPr>
                                <w:rPr>
                                  <w:rFonts w:ascii="Arial" w:hAnsi="Arial" w:cs="Arial"/>
                                  <w:b/>
                                </w:rPr>
                              </w:pPr>
                            </w:p>
                            <w:p w14:paraId="65FC67A8" w14:textId="77777777" w:rsidR="00B266CE" w:rsidRPr="00DD5539" w:rsidRDefault="00B266CE" w:rsidP="009F13E7">
                              <w:pPr>
                                <w:jc w:val="center"/>
                                <w:rPr>
                                  <w:rFonts w:ascii="Arial" w:hAnsi="Arial" w:cs="Arial"/>
                                  <w:b/>
                                </w:rPr>
                              </w:pPr>
                            </w:p>
                            <w:p w14:paraId="1F218C3F" w14:textId="77777777" w:rsidR="00B266CE" w:rsidRPr="000775BB" w:rsidRDefault="00B266CE" w:rsidP="009F13E7">
                              <w:pPr>
                                <w:jc w:val="center"/>
                                <w:rPr>
                                  <w:rFonts w:ascii="Arial" w:hAnsi="Arial" w:cs="Arial"/>
                                  <w:b/>
                                </w:rPr>
                              </w:pPr>
                              <w:r>
                                <w:rPr>
                                  <w:rFonts w:ascii="Arial" w:hAnsi="Arial" w:cs="Arial"/>
                                  <w:b/>
                                </w:rPr>
                                <w:t>QUADRANT III</w:t>
                              </w:r>
                              <w:r w:rsidRPr="000775BB">
                                <w:rPr>
                                  <w:rFonts w:ascii="Arial" w:hAnsi="Arial" w:cs="Arial"/>
                                  <w:b/>
                                </w:rPr>
                                <w:t xml:space="preserve"> ‘Southwest’</w:t>
                              </w:r>
                            </w:p>
                            <w:p w14:paraId="650E1C29" w14:textId="77777777" w:rsidR="00B266CE" w:rsidRDefault="00B266CE" w:rsidP="009F13E7">
                              <w:pPr>
                                <w:jc w:val="center"/>
                                <w:rPr>
                                  <w:rFonts w:ascii="Arial" w:hAnsi="Arial" w:cs="Arial"/>
                                </w:rPr>
                              </w:pPr>
                              <w:r w:rsidRPr="000775BB">
                                <w:rPr>
                                  <w:rFonts w:ascii="Arial" w:hAnsi="Arial" w:cs="Arial"/>
                                </w:rPr>
                                <w:t>Less costly,</w:t>
                              </w:r>
                            </w:p>
                            <w:p w14:paraId="695B317A" w14:textId="77777777" w:rsidR="00B266CE" w:rsidRPr="000775BB" w:rsidRDefault="00B266CE" w:rsidP="009F13E7">
                              <w:pPr>
                                <w:jc w:val="center"/>
                                <w:rPr>
                                  <w:rFonts w:ascii="Arial" w:hAnsi="Arial" w:cs="Arial"/>
                                </w:rPr>
                              </w:pPr>
                              <w:r>
                                <w:rPr>
                                  <w:rFonts w:ascii="Arial" w:hAnsi="Arial" w:cs="Arial"/>
                                </w:rPr>
                                <w:t>L</w:t>
                              </w:r>
                              <w:r w:rsidRPr="000775BB">
                                <w:rPr>
                                  <w:rFonts w:ascii="Arial" w:hAnsi="Arial" w:cs="Arial"/>
                                </w:rPr>
                                <w:t>ess QALY</w:t>
                              </w:r>
                              <w:r>
                                <w:rPr>
                                  <w:rFonts w:ascii="Arial" w:hAnsi="Arial" w:cs="Arial"/>
                                </w:rPr>
                                <w:t>s</w:t>
                              </w:r>
                            </w:p>
                            <w:p w14:paraId="6A85F454" w14:textId="77777777" w:rsidR="00B266CE" w:rsidRPr="00DD5539" w:rsidRDefault="00B266CE" w:rsidP="009F13E7">
                              <w:pPr>
                                <w:rPr>
                                  <w:rFonts w:ascii="Arial" w:hAnsi="Arial" w:cs="Arial"/>
                                </w:rPr>
                              </w:pPr>
                            </w:p>
                          </w:txbxContent>
                        </v:textbox>
                      </v:shape>
                      <v:shape id="Text Box 130" o:spid="_x0000_s1058" type="#_x0000_t202" style="position:absolute;left:200;top:103;width:1700;height:1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LEMIA&#10;AADbAAAADwAAAGRycy9kb3ducmV2LnhtbERPTWvCQBC9C/0PyxR6kbrRQi0xq4gg2PakjXgds5Ns&#10;MDsbsqtJ++u7QqG3ebzPyVaDbcSNOl87VjCdJCCIC6drrhTkX9vnNxA+IGtsHJOCb/KwWj6MMky1&#10;63lPt0OoRAxhn6ICE0KbSukLQxb9xLXEkStdZzFE2FVSd9jHcNvIWZK8Sos1xwaDLW0MFZfD1Sr4&#10;uJjz+efU08s85/GxKvP6/TNR6ulxWC9ABBrCv/jPvdNx/hTu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osQwgAAANsAAAAPAAAAAAAAAAAAAAAAAJgCAABkcnMvZG93&#10;bnJldi54bWxQSwUGAAAAAAQABAD1AAAAhwMAAAAA&#10;" fillcolor="#c0504d [3205]" stroked="f" strokeweight="1.25pt">
                        <v:textbox>
                          <w:txbxContent>
                            <w:p w14:paraId="2FFB20A5" w14:textId="77777777" w:rsidR="00B266CE" w:rsidRPr="00DD5539" w:rsidRDefault="00B266CE" w:rsidP="009F13E7">
                              <w:pPr>
                                <w:rPr>
                                  <w:rFonts w:ascii="Arial" w:hAnsi="Arial" w:cs="Arial"/>
                                  <w:b/>
                                </w:rPr>
                              </w:pPr>
                            </w:p>
                            <w:p w14:paraId="50202385" w14:textId="77777777" w:rsidR="00B266CE" w:rsidRPr="00DD5539" w:rsidRDefault="00B266CE" w:rsidP="009F13E7">
                              <w:pPr>
                                <w:rPr>
                                  <w:rFonts w:ascii="Arial" w:hAnsi="Arial" w:cs="Arial"/>
                                  <w:b/>
                                </w:rPr>
                              </w:pPr>
                            </w:p>
                            <w:p w14:paraId="7BFF8D63" w14:textId="71018FB4" w:rsidR="00B266CE" w:rsidRDefault="00B266CE" w:rsidP="009F13E7">
                              <w:pPr>
                                <w:jc w:val="center"/>
                                <w:rPr>
                                  <w:rFonts w:ascii="Arial" w:hAnsi="Arial" w:cs="Arial"/>
                                  <w:b/>
                                </w:rPr>
                              </w:pPr>
                              <w:r>
                                <w:rPr>
                                  <w:rFonts w:ascii="Arial" w:hAnsi="Arial" w:cs="Arial"/>
                                  <w:b/>
                                </w:rPr>
                                <w:t>QUADRANT I ‘</w:t>
                              </w:r>
                              <w:r w:rsidRPr="00DD5539">
                                <w:rPr>
                                  <w:rFonts w:ascii="Arial" w:hAnsi="Arial" w:cs="Arial"/>
                                  <w:b/>
                                </w:rPr>
                                <w:t>Northwest</w:t>
                              </w:r>
                              <w:r>
                                <w:rPr>
                                  <w:rFonts w:ascii="Arial" w:hAnsi="Arial" w:cs="Arial"/>
                                  <w:b/>
                                </w:rPr>
                                <w:t>’</w:t>
                              </w:r>
                            </w:p>
                            <w:p w14:paraId="15E01AA2" w14:textId="77777777" w:rsidR="00B266CE" w:rsidRDefault="00B266CE" w:rsidP="009F13E7">
                              <w:pPr>
                                <w:jc w:val="center"/>
                                <w:rPr>
                                  <w:rFonts w:ascii="Arial" w:hAnsi="Arial" w:cs="Arial"/>
                                </w:rPr>
                              </w:pPr>
                              <w:r>
                                <w:rPr>
                                  <w:rFonts w:ascii="Arial" w:hAnsi="Arial" w:cs="Arial"/>
                                </w:rPr>
                                <w:t>M</w:t>
                              </w:r>
                              <w:r w:rsidRPr="00DD5539">
                                <w:rPr>
                                  <w:rFonts w:ascii="Arial" w:hAnsi="Arial" w:cs="Arial"/>
                                </w:rPr>
                                <w:t xml:space="preserve">ore costly, </w:t>
                              </w:r>
                            </w:p>
                            <w:p w14:paraId="516A8281" w14:textId="77777777" w:rsidR="00B266CE" w:rsidRDefault="00B266CE" w:rsidP="009F13E7">
                              <w:pPr>
                                <w:jc w:val="center"/>
                                <w:rPr>
                                  <w:rFonts w:ascii="Arial" w:hAnsi="Arial" w:cs="Arial"/>
                                </w:rPr>
                              </w:pPr>
                              <w:r>
                                <w:rPr>
                                  <w:rFonts w:ascii="Arial" w:hAnsi="Arial" w:cs="Arial"/>
                                </w:rPr>
                                <w:t>L</w:t>
                              </w:r>
                              <w:r w:rsidRPr="00DD5539">
                                <w:rPr>
                                  <w:rFonts w:ascii="Arial" w:hAnsi="Arial" w:cs="Arial"/>
                                </w:rPr>
                                <w:t xml:space="preserve">ess </w:t>
                              </w:r>
                              <w:r>
                                <w:rPr>
                                  <w:rFonts w:ascii="Arial" w:hAnsi="Arial" w:cs="Arial"/>
                                </w:rPr>
                                <w:t>QALYs</w:t>
                              </w:r>
                            </w:p>
                            <w:p w14:paraId="7E1D7DE7" w14:textId="77777777" w:rsidR="00B266CE" w:rsidRPr="00DD5539" w:rsidRDefault="00B266CE" w:rsidP="009F13E7">
                              <w:pPr>
                                <w:jc w:val="center"/>
                                <w:rPr>
                                  <w:rFonts w:ascii="Arial" w:hAnsi="Arial" w:cs="Arial"/>
                                </w:rPr>
                              </w:pPr>
                              <w:r w:rsidRPr="00DD5539">
                                <w:rPr>
                                  <w:rFonts w:ascii="Arial" w:hAnsi="Arial" w:cs="Arial"/>
                                </w:rPr>
                                <w:t>(Dominated)</w:t>
                              </w:r>
                            </w:p>
                            <w:p w14:paraId="4C740E76" w14:textId="77777777" w:rsidR="00B266CE" w:rsidRPr="00DD5539" w:rsidRDefault="00B266CE" w:rsidP="009F13E7">
                              <w:pPr>
                                <w:rPr>
                                  <w:rFonts w:ascii="Arial" w:hAnsi="Arial" w:cs="Arial"/>
                                </w:rPr>
                              </w:pPr>
                            </w:p>
                          </w:txbxContent>
                        </v:textbox>
                      </v:shape>
                      <v:shape id="Text Box 131" o:spid="_x0000_s1059" type="#_x0000_t202" style="position:absolute;left:1900;top:103;width:1600;height:1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V0L8A&#10;AADbAAAADwAAAGRycy9kb3ducmV2LnhtbERPTYvCMBC9C/6HMII3m6ogUo0iorjsza6gx7EZ22gz&#10;KU1W67/fLCzsbR7vc5brztbiSa03jhWMkxQEceG04VLB6Ws/moPwAVlj7ZgUvMnDetXvLTHT7sVH&#10;euahFDGEfYYKqhCaTEpfVGTRJ64hjtzNtRZDhG0pdYuvGG5rOUnTmbRoODZU2NC2ouKRf1sFnzK9&#10;XuZe53jYbd73aWEOfDZKDQfdZgEiUBf+xX/uDx3nT+D3l3iAXP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qpXQvwAAANsAAAAPAAAAAAAAAAAAAAAAAJgCAABkcnMvZG93bnJl&#10;di54bWxQSwUGAAAAAAQABAD1AAAAhAMAAAAA&#10;" fillcolor="#b6dde8 [1304]" stroked="f" strokeweight="1.25pt">
                        <v:textbox>
                          <w:txbxContent>
                            <w:p w14:paraId="1B5BB556" w14:textId="77777777" w:rsidR="00B266CE" w:rsidRPr="00DD5539" w:rsidRDefault="00B266CE" w:rsidP="009F13E7">
                              <w:pPr>
                                <w:rPr>
                                  <w:rFonts w:ascii="Arial" w:hAnsi="Arial" w:cs="Arial"/>
                                  <w:b/>
                                </w:rPr>
                              </w:pPr>
                            </w:p>
                            <w:p w14:paraId="2848705F" w14:textId="77777777" w:rsidR="00B266CE" w:rsidRPr="00DD5539" w:rsidRDefault="00B266CE" w:rsidP="009F13E7">
                              <w:pPr>
                                <w:jc w:val="center"/>
                                <w:rPr>
                                  <w:rFonts w:ascii="Arial" w:hAnsi="Arial" w:cs="Arial"/>
                                  <w:b/>
                                </w:rPr>
                              </w:pPr>
                            </w:p>
                            <w:p w14:paraId="7E0BB4F7" w14:textId="63F2D151" w:rsidR="00B266CE" w:rsidRDefault="00B266CE" w:rsidP="009F13E7">
                              <w:pPr>
                                <w:jc w:val="center"/>
                                <w:rPr>
                                  <w:rFonts w:ascii="Arial" w:hAnsi="Arial" w:cs="Arial"/>
                                </w:rPr>
                              </w:pPr>
                              <w:r>
                                <w:rPr>
                                  <w:rFonts w:ascii="Arial" w:hAnsi="Arial" w:cs="Arial"/>
                                  <w:b/>
                                </w:rPr>
                                <w:t>QUADRANT II ‘</w:t>
                              </w:r>
                              <w:r w:rsidRPr="00DD5539">
                                <w:rPr>
                                  <w:rFonts w:ascii="Arial" w:hAnsi="Arial" w:cs="Arial"/>
                                  <w:b/>
                                </w:rPr>
                                <w:t>Northeast</w:t>
                              </w:r>
                              <w:r>
                                <w:rPr>
                                  <w:rFonts w:ascii="Arial" w:hAnsi="Arial" w:cs="Arial"/>
                                  <w:b/>
                                </w:rPr>
                                <w:t>’</w:t>
                              </w:r>
                            </w:p>
                            <w:p w14:paraId="222A5A5F" w14:textId="77777777" w:rsidR="00B266CE" w:rsidRDefault="00B266CE" w:rsidP="009F13E7">
                              <w:pPr>
                                <w:jc w:val="center"/>
                                <w:rPr>
                                  <w:rFonts w:ascii="Arial" w:hAnsi="Arial" w:cs="Arial"/>
                                </w:rPr>
                              </w:pPr>
                              <w:r>
                                <w:rPr>
                                  <w:rFonts w:ascii="Arial" w:hAnsi="Arial" w:cs="Arial"/>
                                </w:rPr>
                                <w:t>M</w:t>
                              </w:r>
                              <w:r w:rsidRPr="00DD5539">
                                <w:rPr>
                                  <w:rFonts w:ascii="Arial" w:hAnsi="Arial" w:cs="Arial"/>
                                </w:rPr>
                                <w:t xml:space="preserve">ore costly, </w:t>
                              </w:r>
                            </w:p>
                            <w:p w14:paraId="4DD9C4E7" w14:textId="77777777" w:rsidR="00B266CE" w:rsidRPr="00DD5539" w:rsidRDefault="00B266CE" w:rsidP="009F13E7">
                              <w:pPr>
                                <w:jc w:val="center"/>
                                <w:rPr>
                                  <w:rFonts w:ascii="Arial" w:hAnsi="Arial" w:cs="Arial"/>
                                </w:rPr>
                              </w:pPr>
                              <w:r>
                                <w:rPr>
                                  <w:rFonts w:ascii="Arial" w:hAnsi="Arial" w:cs="Arial"/>
                                </w:rPr>
                                <w:t>M</w:t>
                              </w:r>
                              <w:r w:rsidRPr="00DD5539">
                                <w:rPr>
                                  <w:rFonts w:ascii="Arial" w:hAnsi="Arial" w:cs="Arial"/>
                                </w:rPr>
                                <w:t xml:space="preserve">ore </w:t>
                              </w:r>
                              <w:r>
                                <w:rPr>
                                  <w:rFonts w:ascii="Arial" w:hAnsi="Arial" w:cs="Arial"/>
                                </w:rPr>
                                <w:t>QALYs</w:t>
                              </w:r>
                            </w:p>
                            <w:p w14:paraId="3663BC51" w14:textId="77777777" w:rsidR="00B266CE" w:rsidRPr="00DD5539" w:rsidRDefault="00B266CE" w:rsidP="009F13E7">
                              <w:pPr>
                                <w:rPr>
                                  <w:rFonts w:ascii="Arial" w:hAnsi="Arial" w:cs="Arial"/>
                                </w:rPr>
                              </w:pPr>
                            </w:p>
                          </w:txbxContent>
                        </v:textbox>
                      </v:shape>
                      <v:shape id="Text Box 132" o:spid="_x0000_s1060" type="#_x0000_t202" style="position:absolute;left:1500;top:-206;width:75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XQsUA&#10;AADbAAAADwAAAGRycy9kb3ducmV2LnhtbERP22rCQBB9F/oPyxR8Ed14oUjqKkURFCulsbR9HLLT&#10;JDQ7G7JrEv16tyD0bQ7nOotVZ0rRUO0KywrGowgEcWp1wZmCj9N2OAfhPLLG0jIpuJCD1fKht8BY&#10;25bfqUl8JkIIuxgV5N5XsZQuzcmgG9mKOHA/tjboA6wzqWtsQ7gp5SSKnqTBgkNDjhWtc0p/k7NR&#10;0Byj2edr+nU5D7ab7/38beMO7VWp/mP38gzCU+f/xXf3Tof5U/j7JRw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1dCxQAAANsAAAAPAAAAAAAAAAAAAAAAAJgCAABkcnMv&#10;ZG93bnJldi54bWxQSwUGAAAAAAQABAD1AAAAigMAAAAA&#10;" filled="f" stroked="f" strokeweight="1.25pt">
                        <v:textbox>
                          <w:txbxContent>
                            <w:p w14:paraId="2B3C4692" w14:textId="77777777" w:rsidR="00B266CE" w:rsidRPr="00DD5539" w:rsidRDefault="00B266CE" w:rsidP="009F13E7">
                              <w:pPr>
                                <w:rPr>
                                  <w:rFonts w:ascii="Arial" w:hAnsi="Arial" w:cs="Arial"/>
                                  <w:b/>
                                </w:rPr>
                              </w:pPr>
                              <w:r>
                                <w:rPr>
                                  <w:rFonts w:ascii="Arial" w:hAnsi="Arial" w:cs="Arial"/>
                                  <w:b/>
                                </w:rPr>
                                <w:t>Cost</w:t>
                              </w:r>
                            </w:p>
                          </w:txbxContent>
                        </v:textbox>
                      </v:shape>
                      <v:shape id="Text Box 133" o:spid="_x0000_s1061" type="#_x0000_t202" style="position:absolute;left:3500;top:1749;width:105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PNsQA&#10;AADbAAAADwAAAGRycy9kb3ducmV2LnhtbERPTWvCQBC9C/6HZYRepG5aRCR1FakILVpEK9bjkB2T&#10;YHY2ZNck+uvdguBtHu9zJrPWFKKmyuWWFbwNIhDEidU5pwr2v8vXMQjnkTUWlknBlRzMpt3OBGNt&#10;G95SvfOpCCHsYlSQeV/GUrokI4NuYEviwJ1sZdAHWKVSV9iEcFPI9ygaSYM5h4YMS/rMKDnvLkZB&#10;/RMND+vk73rpLxfH7/Fm4VbNTamXXjv/AOGp9U/xw/2lw/wh/P8SD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SzzbEAAAA2wAAAA8AAAAAAAAAAAAAAAAAmAIAAGRycy9k&#10;b3ducmV2LnhtbFBLBQYAAAAABAAEAPUAAACJAwAAAAA=&#10;" filled="f" stroked="f" strokeweight="1.25pt">
                        <v:textbox>
                          <w:txbxContent>
                            <w:p w14:paraId="426C0C08" w14:textId="77777777" w:rsidR="00B266CE" w:rsidRPr="00B76548" w:rsidRDefault="00B266CE" w:rsidP="009F13E7">
                              <w:pPr>
                                <w:rPr>
                                  <w:rFonts w:ascii="Arial" w:hAnsi="Arial" w:cs="Arial"/>
                                  <w:b/>
                                  <w:sz w:val="18"/>
                                  <w:szCs w:val="18"/>
                                </w:rPr>
                              </w:pPr>
                            </w:p>
                          </w:txbxContent>
                        </v:textbox>
                      </v:shape>
                      <v:line id="Line 134" o:spid="_x0000_s1062" style="position:absolute;visibility:visible;mso-wrap-style:square" from="1900,103" to="1901,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P6BbwAAADbAAAADwAAAGRycy9kb3ducmV2LnhtbERPSwrCMBDdC94hjODOphYUqUYRRVB3&#10;fg4wNmNbbCa1iVpvbwTB3Tzed2aL1lTiSY0rLSsYRjEI4szqknMF59NmMAHhPLLGyjIpeJODxbzb&#10;mWGq7YsP9Dz6XIQQdikqKLyvUyldVpBBF9maOHBX2xj0ATa51A2+QripZBLHY2mw5NBQYE2rgrLb&#10;8WEU7C4rXI/Wh1pPyiSjd3I/Me6V6vfa5RSEp9b/xT/3Vof5I/j+Eg6Q8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qP6BbwAAADbAAAADwAAAAAAAAAAAAAAAAChAgAA&#10;ZHJzL2Rvd25yZXYueG1sUEsFBgAAAAAEAAQA+QAAAIoDAAAAAA==&#10;" strokeweight="1.25pt">
                        <v:stroke startarrow="block" endarrow="block"/>
                      </v:line>
                      <v:line id="Line 135" o:spid="_x0000_s1063" style="position:absolute;visibility:visible;mso-wrap-style:square" from="200,1852" to="3500,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kcrwAAADbAAAADwAAAGRycy9kb3ducmV2LnhtbERPSwrCMBDdC94hjODOphYUqUYRRVB3&#10;fg4wNmNbbCa1iVpvbwTB3Tzed2aL1lTiSY0rLSsYRjEI4szqknMF59NmMAHhPLLGyjIpeJODxbzb&#10;mWGq7YsP9Dz6XIQQdikqKLyvUyldVpBBF9maOHBX2xj0ATa51A2+QripZBLHY2mw5NBQYE2rgrLb&#10;8WEU7C4rXI/Wh1pPyiSjd3I/Me6V6vfa5RSEp9b/xT/3Vof5Y/j+Eg6Q8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nFkcrwAAADbAAAADwAAAAAAAAAAAAAAAAChAgAA&#10;ZHJzL2Rvd25yZXYueG1sUEsFBgAAAAAEAAQA+QAAAIoDAAAAAA==&#10;" strokeweight="1.25pt">
                        <v:stroke startarrow="block" endarrow="block"/>
                      </v:line>
                      <w10:anchorlock/>
                    </v:group>
                  </w:pict>
                </mc:Fallback>
              </mc:AlternateContent>
            </w:r>
          </w:p>
        </w:tc>
      </w:tr>
      <w:tr w:rsidR="009F13E7" w:rsidRPr="00415E50" w14:paraId="6126C430" w14:textId="77777777" w:rsidTr="00E20483">
        <w:trPr>
          <w:trHeight w:val="74"/>
          <w:jc w:val="center"/>
        </w:trPr>
        <w:tc>
          <w:tcPr>
            <w:tcW w:w="7110" w:type="dxa"/>
          </w:tcPr>
          <w:p w14:paraId="09B0DD4F" w14:textId="77777777" w:rsidR="009F13E7" w:rsidRPr="00415E50" w:rsidRDefault="009F13E7" w:rsidP="004B15D0">
            <w:pPr>
              <w:pStyle w:val="BodyTextIndent3"/>
              <w:spacing w:after="120"/>
              <w:ind w:left="0"/>
              <w:rPr>
                <w:rFonts w:ascii="GibsonLight" w:eastAsia="Arial Unicode MS" w:hAnsi="GibsonLight"/>
                <w:b/>
                <w:spacing w:val="12"/>
              </w:rPr>
            </w:pPr>
          </w:p>
        </w:tc>
      </w:tr>
    </w:tbl>
    <w:p w14:paraId="2A1898AB" w14:textId="1D2E68B6" w:rsidR="00C30D86" w:rsidRPr="00E20483" w:rsidRDefault="00C30D86" w:rsidP="004B15D0">
      <w:pPr>
        <w:pStyle w:val="ListParagraph"/>
        <w:numPr>
          <w:ilvl w:val="0"/>
          <w:numId w:val="14"/>
        </w:numPr>
        <w:spacing w:after="120"/>
        <w:ind w:left="360"/>
        <w:rPr>
          <w:rFonts w:ascii="GibsonLight" w:eastAsia="Arial Unicode MS" w:hAnsi="GibsonLight"/>
          <w:b/>
          <w:spacing w:val="12"/>
          <w:sz w:val="22"/>
          <w:szCs w:val="24"/>
        </w:rPr>
      </w:pPr>
      <w:r w:rsidRPr="00E20483">
        <w:rPr>
          <w:rFonts w:ascii="GibsonLight" w:eastAsia="Arial Unicode MS" w:hAnsi="GibsonLight"/>
          <w:b/>
          <w:spacing w:val="12"/>
          <w:sz w:val="22"/>
          <w:szCs w:val="24"/>
        </w:rPr>
        <w:t>Extended Dominance</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Whether the reported ratios/interventions is eliminated by extended dominance (sometimes referred to as weak dominance). Extended dominance is when one intervention is ruled out from the analysis because it is less effective and is associated with a less attractive cost-effectiveness ratio than an available alternate intervention.</w:t>
      </w:r>
    </w:p>
    <w:p w14:paraId="1AA2B671" w14:textId="6793EC8D" w:rsidR="00C30D86" w:rsidRPr="00E20483" w:rsidRDefault="00C30D86" w:rsidP="004B15D0">
      <w:pPr>
        <w:pStyle w:val="BodyTextIndent3"/>
        <w:numPr>
          <w:ilvl w:val="0"/>
          <w:numId w:val="14"/>
        </w:numPr>
        <w:spacing w:after="120"/>
        <w:ind w:left="360"/>
        <w:rPr>
          <w:rFonts w:ascii="GibsonLight" w:eastAsia="Arial Unicode MS" w:hAnsi="GibsonLight"/>
          <w:spacing w:val="12"/>
          <w:sz w:val="22"/>
        </w:rPr>
      </w:pPr>
      <w:r w:rsidRPr="00E20483">
        <w:rPr>
          <w:rFonts w:ascii="GibsonLight" w:eastAsia="Arial Unicode MS" w:hAnsi="GibsonLight"/>
          <w:b/>
          <w:spacing w:val="12"/>
          <w:sz w:val="22"/>
        </w:rPr>
        <w:t>Incremental analyses</w:t>
      </w:r>
      <w:r w:rsidR="007174B9" w:rsidRPr="00E20483">
        <w:rPr>
          <w:rFonts w:ascii="GibsonLight" w:eastAsia="Arial Unicode MS" w:hAnsi="GibsonLight"/>
          <w:spacing w:val="12"/>
          <w:sz w:val="22"/>
        </w:rPr>
        <w:t>:</w:t>
      </w:r>
      <w:r w:rsidR="00EB3A1F" w:rsidRPr="00E20483">
        <w:rPr>
          <w:rFonts w:ascii="GibsonLight" w:eastAsia="Arial Unicode MS" w:hAnsi="GibsonLight"/>
          <w:spacing w:val="12"/>
          <w:sz w:val="22"/>
        </w:rPr>
        <w:t xml:space="preserve"> Indicates whether the study provided</w:t>
      </w:r>
      <w:r w:rsidRPr="00E20483">
        <w:rPr>
          <w:rFonts w:ascii="GibsonLight" w:eastAsia="Arial Unicode MS" w:hAnsi="GibsonLight"/>
          <w:spacing w:val="12"/>
          <w:sz w:val="22"/>
        </w:rPr>
        <w:t xml:space="preserve"> enough data (i.e. disaggregated cost and QALYs) for the</w:t>
      </w:r>
      <w:r w:rsidR="00EB3A1F" w:rsidRPr="00E20483">
        <w:rPr>
          <w:rFonts w:ascii="GibsonLight" w:eastAsia="Arial Unicode MS" w:hAnsi="GibsonLight"/>
          <w:spacing w:val="12"/>
          <w:sz w:val="22"/>
        </w:rPr>
        <w:t xml:space="preserve"> reader to recalculate the ICER.</w:t>
      </w:r>
      <w:r w:rsidRPr="00E20483">
        <w:rPr>
          <w:rFonts w:ascii="GibsonLight" w:eastAsia="Arial Unicode MS" w:hAnsi="GibsonLight"/>
          <w:spacing w:val="12"/>
          <w:sz w:val="22"/>
        </w:rPr>
        <w:t xml:space="preserve"> </w:t>
      </w:r>
    </w:p>
    <w:p w14:paraId="6F3DCBC3" w14:textId="0C26CF3B" w:rsidR="00C30D86" w:rsidRPr="00E20483" w:rsidRDefault="00C30D86"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Not Reported</w:t>
      </w:r>
      <w:r w:rsidR="007174B9" w:rsidRPr="00E20483">
        <w:rPr>
          <w:rFonts w:ascii="GibsonLight" w:eastAsia="Arial Unicode MS" w:hAnsi="GibsonLight"/>
          <w:spacing w:val="12"/>
          <w:sz w:val="22"/>
        </w:rPr>
        <w:t>:</w:t>
      </w:r>
      <w:r w:rsidRPr="00E20483">
        <w:rPr>
          <w:rFonts w:ascii="GibsonLight" w:eastAsia="Arial Unicode MS" w:hAnsi="GibsonLight"/>
          <w:spacing w:val="12"/>
          <w:sz w:val="22"/>
        </w:rPr>
        <w:t xml:space="preserve"> Incremental analyses were not reported (Note</w:t>
      </w:r>
      <w:r w:rsidR="007174B9" w:rsidRPr="00E20483">
        <w:rPr>
          <w:rFonts w:ascii="GibsonLight" w:eastAsia="Arial Unicode MS" w:hAnsi="GibsonLight"/>
          <w:spacing w:val="12"/>
          <w:sz w:val="22"/>
        </w:rPr>
        <w:t>:</w:t>
      </w:r>
      <w:r w:rsidRPr="00E20483">
        <w:rPr>
          <w:rFonts w:ascii="GibsonLight" w:eastAsia="Arial Unicode MS" w:hAnsi="GibsonLight"/>
          <w:spacing w:val="12"/>
          <w:sz w:val="22"/>
        </w:rPr>
        <w:t xml:space="preserve"> does </w:t>
      </w:r>
      <w:r w:rsidRPr="00E20483">
        <w:rPr>
          <w:rFonts w:ascii="GibsonLight" w:eastAsia="Arial Unicode MS" w:hAnsi="GibsonLight"/>
          <w:b/>
          <w:i/>
          <w:spacing w:val="12"/>
          <w:sz w:val="22"/>
        </w:rPr>
        <w:t>not</w:t>
      </w:r>
      <w:r w:rsidRPr="00E20483">
        <w:rPr>
          <w:rFonts w:ascii="GibsonLight" w:eastAsia="Arial Unicode MS" w:hAnsi="GibsonLight"/>
          <w:spacing w:val="12"/>
          <w:sz w:val="22"/>
        </w:rPr>
        <w:t xml:space="preserve"> include when author say that a ratio is cost-saving</w:t>
      </w:r>
      <w:r w:rsidR="00A22AF7" w:rsidRPr="00E20483">
        <w:rPr>
          <w:rFonts w:ascii="GibsonLight" w:eastAsia="Arial Unicode MS" w:hAnsi="GibsonLight"/>
          <w:spacing w:val="12"/>
          <w:sz w:val="22"/>
        </w:rPr>
        <w:t>/dominant, dominated, or extendedly/weakly dominated</w:t>
      </w:r>
      <w:r w:rsidRPr="00E20483">
        <w:rPr>
          <w:rFonts w:ascii="GibsonLight" w:eastAsia="Arial Unicode MS" w:hAnsi="GibsonLight"/>
          <w:spacing w:val="12"/>
          <w:sz w:val="22"/>
        </w:rPr>
        <w:t>. If aut</w:t>
      </w:r>
      <w:r w:rsidR="008C38E2" w:rsidRPr="00E20483">
        <w:rPr>
          <w:rFonts w:ascii="GibsonLight" w:eastAsia="Arial Unicode MS" w:hAnsi="GibsonLight"/>
          <w:spacing w:val="12"/>
          <w:sz w:val="22"/>
        </w:rPr>
        <w:t xml:space="preserve">hors state any of these, </w:t>
      </w:r>
      <w:r w:rsidRPr="00E20483">
        <w:rPr>
          <w:rFonts w:ascii="GibsonLight" w:eastAsia="Arial Unicode MS" w:hAnsi="GibsonLight"/>
          <w:spacing w:val="12"/>
          <w:sz w:val="22"/>
        </w:rPr>
        <w:t>count the ICER as being reported by the author.)</w:t>
      </w:r>
    </w:p>
    <w:p w14:paraId="3A27898F" w14:textId="08351E30" w:rsidR="00A22AF7" w:rsidRPr="00E20483" w:rsidRDefault="00C30D86"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Correct</w:t>
      </w:r>
      <w:r w:rsidR="007174B9" w:rsidRPr="00E20483">
        <w:rPr>
          <w:rFonts w:ascii="GibsonLight" w:eastAsia="Arial Unicode MS" w:hAnsi="GibsonLight"/>
          <w:spacing w:val="12"/>
          <w:sz w:val="22"/>
        </w:rPr>
        <w:t>:</w:t>
      </w:r>
      <w:r w:rsidRPr="00E20483">
        <w:rPr>
          <w:rFonts w:ascii="GibsonLight" w:eastAsia="Arial Unicode MS" w:hAnsi="GibsonLight"/>
          <w:spacing w:val="12"/>
          <w:sz w:val="22"/>
        </w:rPr>
        <w:t xml:space="preserve"> The incremental analysis was conducted and calculated correctly</w:t>
      </w:r>
      <w:r w:rsidR="00813578" w:rsidRPr="00E20483">
        <w:rPr>
          <w:rFonts w:ascii="GibsonLight" w:eastAsia="Arial Unicode MS" w:hAnsi="GibsonLight"/>
          <w:spacing w:val="12"/>
          <w:sz w:val="22"/>
        </w:rPr>
        <w:t xml:space="preserve"> (i.e. the percent error between the reported ICER and the recalculated ICER is &lt;10%).</w:t>
      </w:r>
      <w:r w:rsidR="00A22AF7" w:rsidRPr="00E20483">
        <w:rPr>
          <w:rFonts w:ascii="GibsonLight" w:eastAsia="Arial Unicode MS" w:hAnsi="GibsonLight"/>
          <w:spacing w:val="12"/>
          <w:sz w:val="22"/>
        </w:rPr>
        <w:t xml:space="preserve"> This also includes ratios where the </w:t>
      </w:r>
      <w:r w:rsidR="00EB3A1F" w:rsidRPr="00E20483">
        <w:rPr>
          <w:rFonts w:ascii="GibsonLight" w:eastAsia="Arial Unicode MS" w:hAnsi="GibsonLight"/>
          <w:spacing w:val="12"/>
          <w:sz w:val="22"/>
        </w:rPr>
        <w:t>study</w:t>
      </w:r>
      <w:r w:rsidR="00A22AF7" w:rsidRPr="00E20483">
        <w:rPr>
          <w:rFonts w:ascii="GibsonLight" w:eastAsia="Arial Unicode MS" w:hAnsi="GibsonLight"/>
          <w:spacing w:val="12"/>
          <w:sz w:val="22"/>
        </w:rPr>
        <w:t xml:space="preserve"> did not report an ICER, but reported the intervention as dominated, cost-saving, or extendedly dominated, and the reader was able to recalculate the ICER to determine how to the authors came to their conclusion.</w:t>
      </w:r>
    </w:p>
    <w:p w14:paraId="296F6D79" w14:textId="26921A6D" w:rsidR="00C30D86" w:rsidRPr="00E20483" w:rsidRDefault="00C30D86"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Incorrect</w:t>
      </w:r>
      <w:r w:rsidR="007174B9" w:rsidRPr="00E20483">
        <w:rPr>
          <w:rFonts w:ascii="GibsonLight" w:eastAsia="Arial Unicode MS" w:hAnsi="GibsonLight"/>
          <w:spacing w:val="12"/>
          <w:sz w:val="22"/>
        </w:rPr>
        <w:t>:</w:t>
      </w:r>
      <w:r w:rsidRPr="00E20483">
        <w:rPr>
          <w:rFonts w:ascii="GibsonLight" w:eastAsia="Arial Unicode MS" w:hAnsi="GibsonLight"/>
          <w:spacing w:val="12"/>
          <w:sz w:val="22"/>
        </w:rPr>
        <w:t xml:space="preserve"> The incremental analysis was conducted but calculated incorrectly</w:t>
      </w:r>
      <w:r w:rsidR="00813578" w:rsidRPr="00E20483">
        <w:rPr>
          <w:rFonts w:ascii="GibsonLight" w:eastAsia="Arial Unicode MS" w:hAnsi="GibsonLight"/>
          <w:spacing w:val="12"/>
          <w:sz w:val="22"/>
        </w:rPr>
        <w:t xml:space="preserve"> (i.e. the percent error between the reported ICER and the recalculated ICER is &gt;=10%)</w:t>
      </w:r>
      <w:r w:rsidR="00A22AF7" w:rsidRPr="00E20483">
        <w:rPr>
          <w:rFonts w:ascii="GibsonLight" w:eastAsia="Arial Unicode MS" w:hAnsi="GibsonLight"/>
          <w:spacing w:val="12"/>
          <w:sz w:val="22"/>
        </w:rPr>
        <w:t>.</w:t>
      </w:r>
    </w:p>
    <w:p w14:paraId="28D2FF44" w14:textId="5F4D95E9" w:rsidR="00C30D86" w:rsidRPr="00E20483" w:rsidRDefault="00C30D86"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Not enough data to recalculate</w:t>
      </w:r>
      <w:r w:rsidR="007174B9" w:rsidRPr="00E20483">
        <w:rPr>
          <w:rFonts w:ascii="GibsonLight" w:eastAsia="Arial Unicode MS" w:hAnsi="GibsonLight"/>
          <w:spacing w:val="12"/>
          <w:sz w:val="22"/>
        </w:rPr>
        <w:t>:</w:t>
      </w:r>
      <w:r w:rsidRPr="00E20483">
        <w:rPr>
          <w:rFonts w:ascii="GibsonLight" w:eastAsia="Arial Unicode MS" w:hAnsi="GibsonLight"/>
          <w:spacing w:val="12"/>
          <w:sz w:val="22"/>
        </w:rPr>
        <w:t xml:space="preserve"> </w:t>
      </w:r>
      <w:r w:rsidR="0080080D" w:rsidRPr="00E20483">
        <w:rPr>
          <w:rFonts w:ascii="GibsonLight" w:eastAsia="Arial Unicode MS" w:hAnsi="GibsonLight"/>
          <w:spacing w:val="12"/>
          <w:sz w:val="22"/>
        </w:rPr>
        <w:t>The study did not provide sufficient data</w:t>
      </w:r>
      <w:r w:rsidRPr="00E20483">
        <w:rPr>
          <w:rFonts w:ascii="GibsonLight" w:eastAsia="Arial Unicode MS" w:hAnsi="GibsonLight"/>
          <w:spacing w:val="12"/>
          <w:sz w:val="22"/>
        </w:rPr>
        <w:t xml:space="preserve"> to repeat the ICER calculation</w:t>
      </w:r>
      <w:r w:rsidR="00A22AF7" w:rsidRPr="00E20483">
        <w:rPr>
          <w:rFonts w:ascii="GibsonLight" w:eastAsia="Arial Unicode MS" w:hAnsi="GibsonLight"/>
          <w:spacing w:val="12"/>
          <w:sz w:val="22"/>
        </w:rPr>
        <w:t>.</w:t>
      </w:r>
    </w:p>
    <w:p w14:paraId="5A195E9E" w14:textId="56605F13" w:rsidR="00652378" w:rsidRPr="00E20483" w:rsidRDefault="002C0FB8" w:rsidP="004B15D0">
      <w:pPr>
        <w:pStyle w:val="BodyTextIndent3"/>
        <w:numPr>
          <w:ilvl w:val="0"/>
          <w:numId w:val="14"/>
        </w:numPr>
        <w:spacing w:after="120"/>
        <w:ind w:left="360"/>
        <w:rPr>
          <w:rFonts w:ascii="GibsonLight" w:eastAsia="Arial Unicode MS" w:hAnsi="GibsonLight"/>
          <w:spacing w:val="12"/>
          <w:sz w:val="22"/>
        </w:rPr>
      </w:pPr>
      <w:r w:rsidRPr="00E20483">
        <w:rPr>
          <w:rFonts w:ascii="GibsonLight" w:eastAsia="Arial Unicode MS" w:hAnsi="GibsonLight"/>
          <w:b/>
          <w:spacing w:val="12"/>
          <w:sz w:val="22"/>
        </w:rPr>
        <w:t>Cost per Life Year</w:t>
      </w:r>
      <w:r w:rsidR="007174B9" w:rsidRPr="00E20483">
        <w:rPr>
          <w:rFonts w:ascii="GibsonLight" w:eastAsia="Arial Unicode MS" w:hAnsi="GibsonLight"/>
          <w:spacing w:val="12"/>
          <w:sz w:val="22"/>
        </w:rPr>
        <w:t>:</w:t>
      </w:r>
      <w:r w:rsidR="00652378" w:rsidRPr="00E20483">
        <w:rPr>
          <w:rFonts w:ascii="GibsonLight" w:eastAsia="Arial Unicode MS" w:hAnsi="GibsonLight"/>
          <w:spacing w:val="12"/>
          <w:sz w:val="22"/>
        </w:rPr>
        <w:t xml:space="preserve"> If available, reports corresponding $/Life-year results</w:t>
      </w:r>
    </w:p>
    <w:p w14:paraId="78C11BCF" w14:textId="24E67258" w:rsidR="005C5D96" w:rsidRPr="00E20483" w:rsidRDefault="002C0FB8" w:rsidP="004B15D0">
      <w:pPr>
        <w:pStyle w:val="BodyTextIndent3"/>
        <w:numPr>
          <w:ilvl w:val="0"/>
          <w:numId w:val="14"/>
        </w:numPr>
        <w:spacing w:after="120"/>
        <w:ind w:left="360"/>
        <w:rPr>
          <w:rFonts w:ascii="GibsonLight" w:eastAsia="Arial Unicode MS" w:hAnsi="GibsonLight"/>
          <w:spacing w:val="12"/>
          <w:sz w:val="22"/>
        </w:rPr>
      </w:pPr>
      <w:r w:rsidRPr="00E20483">
        <w:rPr>
          <w:rFonts w:ascii="GibsonLight" w:eastAsia="Arial Unicode MS" w:hAnsi="GibsonLight"/>
          <w:b/>
          <w:spacing w:val="12"/>
          <w:sz w:val="22"/>
        </w:rPr>
        <w:t>Other types of CEA Ratios</w:t>
      </w:r>
      <w:r w:rsidR="007174B9" w:rsidRPr="00E20483">
        <w:rPr>
          <w:rFonts w:ascii="GibsonLight" w:eastAsia="Arial Unicode MS" w:hAnsi="GibsonLight"/>
          <w:spacing w:val="12"/>
          <w:sz w:val="22"/>
        </w:rPr>
        <w:t>:</w:t>
      </w:r>
      <w:r w:rsidR="005C5D96" w:rsidRPr="00E20483">
        <w:rPr>
          <w:rFonts w:ascii="GibsonLight" w:eastAsia="Arial Unicode MS" w:hAnsi="GibsonLight"/>
          <w:spacing w:val="12"/>
          <w:sz w:val="22"/>
        </w:rPr>
        <w:t xml:space="preserve"> </w:t>
      </w:r>
      <w:r w:rsidR="00652378" w:rsidRPr="00E20483">
        <w:rPr>
          <w:rFonts w:ascii="GibsonLight" w:eastAsia="Arial Unicode MS" w:hAnsi="GibsonLight"/>
          <w:spacing w:val="12"/>
          <w:sz w:val="22"/>
        </w:rPr>
        <w:t>If available, reports ICERs</w:t>
      </w:r>
      <w:r w:rsidR="005C5D96" w:rsidRPr="00E20483">
        <w:rPr>
          <w:rFonts w:ascii="GibsonLight" w:eastAsia="Arial Unicode MS" w:hAnsi="GibsonLight"/>
          <w:spacing w:val="12"/>
          <w:sz w:val="22"/>
        </w:rPr>
        <w:t xml:space="preserve"> measured in other units of effective</w:t>
      </w:r>
      <w:r w:rsidR="00652378" w:rsidRPr="00E20483">
        <w:rPr>
          <w:rFonts w:ascii="GibsonLight" w:eastAsia="Arial Unicode MS" w:hAnsi="GibsonLight"/>
          <w:spacing w:val="12"/>
          <w:sz w:val="22"/>
        </w:rPr>
        <w:t>ness (e.g. $/case saved, $/case averted</w:t>
      </w:r>
      <w:r w:rsidR="005C5D96" w:rsidRPr="00E20483">
        <w:rPr>
          <w:rFonts w:ascii="GibsonLight" w:eastAsia="Arial Unicode MS" w:hAnsi="GibsonLight"/>
          <w:spacing w:val="12"/>
          <w:sz w:val="22"/>
        </w:rPr>
        <w:t>).</w:t>
      </w:r>
    </w:p>
    <w:p w14:paraId="4A7930CA" w14:textId="37BD607A" w:rsidR="005C5D96" w:rsidRPr="00E20483" w:rsidRDefault="002C0FB8" w:rsidP="004B15D0">
      <w:pPr>
        <w:pStyle w:val="BodyTextIndent3"/>
        <w:numPr>
          <w:ilvl w:val="0"/>
          <w:numId w:val="14"/>
        </w:numPr>
        <w:spacing w:after="120"/>
        <w:ind w:left="360"/>
        <w:rPr>
          <w:rFonts w:ascii="GibsonLight" w:eastAsia="Arial Unicode MS" w:hAnsi="GibsonLight"/>
          <w:b/>
          <w:spacing w:val="12"/>
          <w:sz w:val="22"/>
        </w:rPr>
      </w:pPr>
      <w:r w:rsidRPr="00E20483">
        <w:rPr>
          <w:rFonts w:ascii="GibsonLight" w:eastAsia="Arial Unicode MS" w:hAnsi="GibsonLight"/>
          <w:b/>
          <w:spacing w:val="12"/>
          <w:sz w:val="22"/>
        </w:rPr>
        <w:t>Budget Impact</w:t>
      </w:r>
      <w:r w:rsidR="007174B9" w:rsidRPr="00E20483">
        <w:rPr>
          <w:rFonts w:ascii="GibsonLight" w:eastAsia="Arial Unicode MS" w:hAnsi="GibsonLight"/>
          <w:spacing w:val="12"/>
          <w:sz w:val="22"/>
        </w:rPr>
        <w:t>:</w:t>
      </w:r>
      <w:r w:rsidR="005C5D96" w:rsidRPr="00E20483">
        <w:rPr>
          <w:rFonts w:ascii="GibsonLight" w:eastAsia="Arial Unicode MS" w:hAnsi="GibsonLight"/>
          <w:spacing w:val="12"/>
          <w:sz w:val="22"/>
        </w:rPr>
        <w:t xml:space="preserve"> The budget impact is an estimated aggregate cost for the actual (rather than a hypothetical) population. </w:t>
      </w:r>
    </w:p>
    <w:p w14:paraId="33A73C95" w14:textId="772AFF3C" w:rsidR="002C0FB8" w:rsidRPr="00E20483" w:rsidRDefault="002C0FB8" w:rsidP="004B15D0">
      <w:pPr>
        <w:pStyle w:val="ListParagraph"/>
        <w:numPr>
          <w:ilvl w:val="0"/>
          <w:numId w:val="14"/>
        </w:numPr>
        <w:spacing w:after="120"/>
        <w:ind w:left="360"/>
        <w:rPr>
          <w:rFonts w:ascii="GibsonLight" w:eastAsia="Arial Unicode MS" w:hAnsi="GibsonLight"/>
          <w:b/>
          <w:spacing w:val="12"/>
          <w:sz w:val="22"/>
          <w:szCs w:val="24"/>
        </w:rPr>
      </w:pPr>
      <w:r w:rsidRPr="00E20483">
        <w:rPr>
          <w:rFonts w:ascii="GibsonLight" w:eastAsia="Arial Unicode MS" w:hAnsi="GibsonLight"/>
          <w:b/>
          <w:spacing w:val="12"/>
          <w:sz w:val="22"/>
          <w:szCs w:val="24"/>
        </w:rPr>
        <w:t>Perspective</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 xml:space="preserve">The viewpoint from which costs and QALYs were calculated. </w:t>
      </w:r>
    </w:p>
    <w:p w14:paraId="4D33A9CE" w14:textId="0D506D9E" w:rsidR="002C0FB8" w:rsidRPr="00E20483" w:rsidRDefault="002C0FB8"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lastRenderedPageBreak/>
        <w:t>As Judged by Author</w:t>
      </w:r>
      <w:r w:rsidR="007174B9" w:rsidRPr="00E20483">
        <w:rPr>
          <w:rFonts w:ascii="GibsonLight" w:eastAsia="Arial Unicode MS" w:hAnsi="GibsonLight"/>
          <w:spacing w:val="12"/>
          <w:sz w:val="22"/>
        </w:rPr>
        <w:t>:</w:t>
      </w:r>
      <w:r w:rsidRPr="00E20483">
        <w:rPr>
          <w:rFonts w:ascii="GibsonLight" w:eastAsia="Arial Unicode MS" w:hAnsi="GibsonLight"/>
          <w:b/>
          <w:spacing w:val="12"/>
          <w:sz w:val="22"/>
        </w:rPr>
        <w:t xml:space="preserve"> </w:t>
      </w:r>
      <w:r w:rsidRPr="00E20483">
        <w:rPr>
          <w:rFonts w:ascii="GibsonLight" w:eastAsia="Arial Unicode MS" w:hAnsi="GibsonLight"/>
          <w:spacing w:val="12"/>
          <w:sz w:val="22"/>
        </w:rPr>
        <w:t>The primary or most comprehensive perspective used in th</w:t>
      </w:r>
      <w:r w:rsidR="00652378" w:rsidRPr="00E20483">
        <w:rPr>
          <w:rFonts w:ascii="GibsonLight" w:eastAsia="Arial Unicode MS" w:hAnsi="GibsonLight"/>
          <w:spacing w:val="12"/>
          <w:sz w:val="22"/>
        </w:rPr>
        <w:t>e study as stated by the author</w:t>
      </w:r>
      <w:r w:rsidRPr="00E20483">
        <w:rPr>
          <w:rFonts w:ascii="GibsonLight" w:eastAsia="Arial Unicode MS" w:hAnsi="GibsonLight"/>
          <w:spacing w:val="12"/>
          <w:sz w:val="22"/>
        </w:rPr>
        <w:t xml:space="preserve"> </w:t>
      </w:r>
    </w:p>
    <w:p w14:paraId="5206162E" w14:textId="53A4DD45" w:rsidR="002C0FB8" w:rsidRPr="00E20483" w:rsidRDefault="002C0FB8" w:rsidP="004B15D0">
      <w:pPr>
        <w:pStyle w:val="ListParagraph"/>
        <w:numPr>
          <w:ilvl w:val="0"/>
          <w:numId w:val="31"/>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Health Care Payer</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Includes only monetary costs incurred by a health care payer (e.g. Medicare/Medicaid, British National Health service, an HMO or private health care plan). </w:t>
      </w:r>
    </w:p>
    <w:p w14:paraId="4E8DD474" w14:textId="61A43E66" w:rsidR="002C0FB8" w:rsidRPr="00E20483" w:rsidRDefault="002C0FB8" w:rsidP="004B15D0">
      <w:pPr>
        <w:pStyle w:val="ListParagraph"/>
        <w:numPr>
          <w:ilvl w:val="0"/>
          <w:numId w:val="31"/>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Health Care Sector</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w:t>
      </w:r>
      <w:r w:rsidR="00652378" w:rsidRPr="00E20483">
        <w:rPr>
          <w:rFonts w:ascii="GibsonLight" w:eastAsia="Arial Unicode MS" w:hAnsi="GibsonLight"/>
          <w:spacing w:val="12"/>
          <w:sz w:val="22"/>
          <w:szCs w:val="24"/>
        </w:rPr>
        <w:t xml:space="preserve">Unlike the Health Care Payer perspective, </w:t>
      </w:r>
      <w:r w:rsidRPr="00E20483">
        <w:rPr>
          <w:rFonts w:ascii="GibsonLight" w:eastAsia="Arial Unicode MS" w:hAnsi="GibsonLight"/>
          <w:spacing w:val="12"/>
          <w:sz w:val="22"/>
          <w:szCs w:val="24"/>
        </w:rPr>
        <w:t xml:space="preserve">Health Care Sector accounts for all monetary costs of health </w:t>
      </w:r>
      <w:r w:rsidR="00652378" w:rsidRPr="00E20483">
        <w:rPr>
          <w:rFonts w:ascii="GibsonLight" w:eastAsia="Arial Unicode MS" w:hAnsi="GibsonLight"/>
          <w:spacing w:val="12"/>
          <w:sz w:val="22"/>
          <w:szCs w:val="24"/>
        </w:rPr>
        <w:t>care</w:t>
      </w:r>
      <w:r w:rsidRPr="00E20483">
        <w:rPr>
          <w:rFonts w:ascii="GibsonLight" w:eastAsia="Arial Unicode MS" w:hAnsi="GibsonLight"/>
          <w:spacing w:val="12"/>
          <w:sz w:val="22"/>
          <w:szCs w:val="24"/>
        </w:rPr>
        <w:t xml:space="preserve"> regardless </w:t>
      </w:r>
      <w:r w:rsidR="00415E50" w:rsidRPr="00E20483">
        <w:rPr>
          <w:rFonts w:ascii="GibsonLight" w:eastAsia="Arial Unicode MS" w:hAnsi="GibsonLight"/>
          <w:spacing w:val="12"/>
          <w:sz w:val="22"/>
          <w:szCs w:val="24"/>
        </w:rPr>
        <w:t xml:space="preserve">of </w:t>
      </w:r>
      <w:r w:rsidRPr="00E20483">
        <w:rPr>
          <w:rFonts w:ascii="GibsonLight" w:eastAsia="Arial Unicode MS" w:hAnsi="GibsonLight"/>
          <w:spacing w:val="12"/>
          <w:sz w:val="22"/>
          <w:szCs w:val="24"/>
        </w:rPr>
        <w:t xml:space="preserve">who </w:t>
      </w:r>
      <w:r w:rsidR="00415E50" w:rsidRPr="00E20483">
        <w:rPr>
          <w:rFonts w:ascii="GibsonLight" w:eastAsia="Arial Unicode MS" w:hAnsi="GibsonLight"/>
          <w:spacing w:val="12"/>
          <w:sz w:val="22"/>
          <w:szCs w:val="24"/>
        </w:rPr>
        <w:t>bears</w:t>
      </w:r>
      <w:r w:rsidRPr="00E20483">
        <w:rPr>
          <w:rFonts w:ascii="GibsonLight" w:eastAsia="Arial Unicode MS" w:hAnsi="GibsonLight"/>
          <w:spacing w:val="12"/>
          <w:sz w:val="22"/>
          <w:szCs w:val="24"/>
        </w:rPr>
        <w:t xml:space="preserve"> the cost (</w:t>
      </w:r>
      <w:r w:rsidR="00652378" w:rsidRPr="00E20483">
        <w:rPr>
          <w:rFonts w:ascii="GibsonLight" w:eastAsia="Arial Unicode MS" w:hAnsi="GibsonLight"/>
          <w:spacing w:val="12"/>
          <w:sz w:val="22"/>
          <w:szCs w:val="24"/>
        </w:rPr>
        <w:t xml:space="preserve">i.e., </w:t>
      </w:r>
      <w:r w:rsidRPr="00E20483">
        <w:rPr>
          <w:rFonts w:ascii="GibsonLight" w:eastAsia="Arial Unicode MS" w:hAnsi="GibsonLight"/>
          <w:spacing w:val="12"/>
          <w:sz w:val="22"/>
          <w:szCs w:val="24"/>
        </w:rPr>
        <w:t>includes out-of-poc</w:t>
      </w:r>
      <w:r w:rsidR="00415E50" w:rsidRPr="00E20483">
        <w:rPr>
          <w:rFonts w:ascii="GibsonLight" w:eastAsia="Arial Unicode MS" w:hAnsi="GibsonLight"/>
          <w:spacing w:val="12"/>
          <w:sz w:val="22"/>
          <w:szCs w:val="24"/>
        </w:rPr>
        <w:t>ket costs).</w:t>
      </w:r>
      <w:r w:rsidRPr="00E20483">
        <w:rPr>
          <w:rFonts w:ascii="GibsonLight" w:eastAsia="Arial Unicode MS" w:hAnsi="GibsonLight"/>
          <w:spacing w:val="12"/>
          <w:sz w:val="22"/>
          <w:szCs w:val="24"/>
        </w:rPr>
        <w:t xml:space="preserve"> </w:t>
      </w:r>
    </w:p>
    <w:p w14:paraId="321C35A4" w14:textId="20F425E5" w:rsidR="002C0FB8" w:rsidRPr="00E20483" w:rsidRDefault="002C0FB8" w:rsidP="004B15D0">
      <w:pPr>
        <w:pStyle w:val="ListParagraph"/>
        <w:numPr>
          <w:ilvl w:val="0"/>
          <w:numId w:val="31"/>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Limited Societal</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 xml:space="preserve">Also known as “Modified perspective”, this analysis accounts for costs not unique or specific to the health care sector. The perspective is designated “limited societal” if at least one </w:t>
      </w:r>
      <w:r w:rsidR="00652378" w:rsidRPr="00E20483">
        <w:rPr>
          <w:rFonts w:ascii="GibsonLight" w:eastAsia="Arial Unicode MS" w:hAnsi="GibsonLight"/>
          <w:spacing w:val="12"/>
          <w:sz w:val="22"/>
          <w:szCs w:val="24"/>
        </w:rPr>
        <w:t xml:space="preserve">non-health care </w:t>
      </w:r>
      <w:r w:rsidRPr="00E20483">
        <w:rPr>
          <w:rFonts w:ascii="GibsonLight" w:eastAsia="Arial Unicode MS" w:hAnsi="GibsonLight"/>
          <w:spacing w:val="12"/>
          <w:sz w:val="22"/>
          <w:szCs w:val="24"/>
        </w:rPr>
        <w:t>cost is included (e.g. unpaid caregiver time, productivity impacts, patient time). It does not include spillover costs to other sectors besides health care, such as education.</w:t>
      </w:r>
    </w:p>
    <w:p w14:paraId="7F42A3B3" w14:textId="3F86D72F" w:rsidR="002C0FB8" w:rsidRPr="00E20483" w:rsidRDefault="002C0FB8" w:rsidP="004B15D0">
      <w:pPr>
        <w:pStyle w:val="ListParagraph"/>
        <w:numPr>
          <w:ilvl w:val="0"/>
          <w:numId w:val="31"/>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Societal</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 xml:space="preserve">The Societal perspective is broader than limited societal perspective. It represents the overall public interest by including social opportunity costs where the use of resources results in the loss of opportunity to use those funds (or resources) for other purposes. </w:t>
      </w:r>
    </w:p>
    <w:p w14:paraId="472898AB" w14:textId="115E9824" w:rsidR="002C0FB8" w:rsidRPr="00E20483" w:rsidRDefault="002C0FB8" w:rsidP="004B15D0">
      <w:pPr>
        <w:pStyle w:val="ListParagraph"/>
        <w:numPr>
          <w:ilvl w:val="0"/>
          <w:numId w:val="31"/>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Other</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Authors report a perspective other than those listed above.</w:t>
      </w:r>
    </w:p>
    <w:p w14:paraId="7B75B75A" w14:textId="01CAC8E0" w:rsidR="002C0FB8" w:rsidRPr="00E20483" w:rsidRDefault="002C0FB8" w:rsidP="004B15D0">
      <w:pPr>
        <w:pStyle w:val="ListParagraph"/>
        <w:numPr>
          <w:ilvl w:val="0"/>
          <w:numId w:val="31"/>
        </w:numPr>
        <w:spacing w:after="120"/>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Not Stated/Could Not Be Determined</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Authors did not provide sufficient information to determine type of costs or benefits evaluated.</w:t>
      </w:r>
    </w:p>
    <w:p w14:paraId="024A357D" w14:textId="6455D445" w:rsidR="002C0FB8" w:rsidRPr="00E20483" w:rsidRDefault="002C0FB8" w:rsidP="004B15D0">
      <w:pPr>
        <w:pStyle w:val="BodyTextIndent3"/>
        <w:spacing w:after="120"/>
        <w:ind w:left="720"/>
        <w:rPr>
          <w:rFonts w:ascii="GibsonLight" w:eastAsia="Arial Unicode MS" w:hAnsi="GibsonLight"/>
          <w:spacing w:val="12"/>
          <w:sz w:val="22"/>
        </w:rPr>
      </w:pPr>
      <w:r w:rsidRPr="00E20483">
        <w:rPr>
          <w:rFonts w:ascii="GibsonLight" w:eastAsia="Arial Unicode MS" w:hAnsi="GibsonLight"/>
          <w:b/>
          <w:spacing w:val="12"/>
          <w:sz w:val="22"/>
        </w:rPr>
        <w:t>As Judged by Reviewer</w:t>
      </w:r>
      <w:r w:rsidR="007174B9" w:rsidRPr="00E20483">
        <w:rPr>
          <w:rFonts w:ascii="GibsonLight" w:eastAsia="Arial Unicode MS" w:hAnsi="GibsonLight"/>
          <w:spacing w:val="12"/>
          <w:sz w:val="22"/>
        </w:rPr>
        <w:t>:</w:t>
      </w:r>
      <w:r w:rsidRPr="00E20483">
        <w:rPr>
          <w:rFonts w:ascii="GibsonLight" w:eastAsia="Arial Unicode MS" w:hAnsi="GibsonLight"/>
          <w:b/>
          <w:spacing w:val="12"/>
          <w:sz w:val="22"/>
        </w:rPr>
        <w:t xml:space="preserve"> </w:t>
      </w:r>
      <w:r w:rsidRPr="00E20483">
        <w:rPr>
          <w:rFonts w:ascii="GibsonLight" w:eastAsia="Arial Unicode MS" w:hAnsi="GibsonLight"/>
          <w:spacing w:val="12"/>
          <w:sz w:val="22"/>
        </w:rPr>
        <w:t xml:space="preserve">The primary or most comprehensive perspective used in the study as judged by the reviewer based on costs included. For example, a study might state ‘societal perspective’ but fail to include non-medical costs and other sector costs. In this </w:t>
      </w:r>
      <w:r w:rsidR="009278C6" w:rsidRPr="00E20483">
        <w:rPr>
          <w:rFonts w:ascii="GibsonLight" w:eastAsia="Arial Unicode MS" w:hAnsi="GibsonLight"/>
          <w:spacing w:val="12"/>
          <w:sz w:val="22"/>
        </w:rPr>
        <w:t>case,</w:t>
      </w:r>
      <w:r w:rsidRPr="00E20483">
        <w:rPr>
          <w:rFonts w:ascii="GibsonLight" w:eastAsia="Arial Unicode MS" w:hAnsi="GibsonLight"/>
          <w:spacing w:val="12"/>
          <w:sz w:val="22"/>
        </w:rPr>
        <w:t xml:space="preserve"> the perspective as judged by the author would be “limited societal” but as judged by the reviewer would be ‘health care payer’.</w:t>
      </w:r>
    </w:p>
    <w:p w14:paraId="595AF0DF" w14:textId="37BCD643" w:rsidR="002C0FB8" w:rsidRPr="00E20483" w:rsidRDefault="002C0FB8" w:rsidP="004B15D0">
      <w:pPr>
        <w:pStyle w:val="ListParagraph"/>
        <w:numPr>
          <w:ilvl w:val="0"/>
          <w:numId w:val="32"/>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Health Care Payer</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The analysis </w:t>
      </w:r>
      <w:r w:rsidRPr="00E20483">
        <w:rPr>
          <w:rFonts w:ascii="GibsonLight" w:eastAsia="Arial Unicode MS" w:hAnsi="GibsonLight"/>
          <w:spacing w:val="12"/>
          <w:sz w:val="22"/>
          <w:szCs w:val="24"/>
          <w:u w:val="single"/>
        </w:rPr>
        <w:t>only</w:t>
      </w:r>
      <w:r w:rsidRPr="00E20483">
        <w:rPr>
          <w:rFonts w:ascii="GibsonLight" w:eastAsia="Arial Unicode MS" w:hAnsi="GibsonLight"/>
          <w:spacing w:val="12"/>
          <w:sz w:val="22"/>
          <w:szCs w:val="24"/>
        </w:rPr>
        <w:t xml:space="preserve"> included treatment </w:t>
      </w:r>
      <w:r w:rsidR="009278C6" w:rsidRPr="00E20483">
        <w:rPr>
          <w:rFonts w:ascii="GibsonLight" w:eastAsia="Arial Unicode MS" w:hAnsi="GibsonLight"/>
          <w:spacing w:val="12"/>
          <w:sz w:val="22"/>
          <w:szCs w:val="24"/>
        </w:rPr>
        <w:t>costs/direct-medical</w:t>
      </w:r>
      <w:r w:rsidRPr="00E20483">
        <w:rPr>
          <w:rFonts w:ascii="GibsonLight" w:eastAsia="Arial Unicode MS" w:hAnsi="GibsonLight"/>
          <w:spacing w:val="12"/>
          <w:sz w:val="22"/>
          <w:szCs w:val="24"/>
        </w:rPr>
        <w:t xml:space="preserve"> costs.</w:t>
      </w:r>
    </w:p>
    <w:p w14:paraId="10D77F32" w14:textId="5FD712FA" w:rsidR="002C0FB8" w:rsidRPr="00E20483" w:rsidRDefault="002C0FB8" w:rsidP="004B15D0">
      <w:pPr>
        <w:pStyle w:val="ListParagraph"/>
        <w:numPr>
          <w:ilvl w:val="0"/>
          <w:numId w:val="32"/>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Health Care Sector</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The analysis only included health care costs and must include out-of-pocket medical costs.</w:t>
      </w:r>
    </w:p>
    <w:p w14:paraId="36374F05" w14:textId="6E7C48A3" w:rsidR="002C0FB8" w:rsidRPr="00E20483" w:rsidRDefault="002C0FB8" w:rsidP="004B15D0">
      <w:pPr>
        <w:pStyle w:val="ListParagraph"/>
        <w:numPr>
          <w:ilvl w:val="0"/>
          <w:numId w:val="32"/>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Limited Societal</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The analysis included any non-health care costs.</w:t>
      </w:r>
    </w:p>
    <w:p w14:paraId="02DF52F4" w14:textId="3B5001B2" w:rsidR="002C0FB8" w:rsidRPr="00E20483" w:rsidRDefault="002C0FB8" w:rsidP="004B15D0">
      <w:pPr>
        <w:pStyle w:val="ListParagraph"/>
        <w:numPr>
          <w:ilvl w:val="0"/>
          <w:numId w:val="32"/>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Societal</w:t>
      </w:r>
      <w:r w:rsidR="007174B9" w:rsidRPr="00E20483">
        <w:rPr>
          <w:rFonts w:ascii="GibsonLight" w:eastAsia="Arial Unicode MS" w:hAnsi="GibsonLight"/>
          <w:spacing w:val="12"/>
          <w:sz w:val="22"/>
          <w:szCs w:val="24"/>
        </w:rPr>
        <w:t>:</w:t>
      </w:r>
      <w:r w:rsidRPr="00E20483">
        <w:rPr>
          <w:rFonts w:ascii="GibsonLight" w:eastAsia="Arial Unicode MS" w:hAnsi="GibsonLight"/>
          <w:spacing w:val="12"/>
          <w:sz w:val="22"/>
          <w:szCs w:val="24"/>
        </w:rPr>
        <w:t xml:space="preserve"> The analysis included any sector costs</w:t>
      </w:r>
      <w:r w:rsidR="003B2A98" w:rsidRPr="00E20483">
        <w:rPr>
          <w:rFonts w:ascii="GibsonLight" w:eastAsia="Arial Unicode MS" w:hAnsi="GibsonLight"/>
          <w:spacing w:val="12"/>
          <w:sz w:val="22"/>
          <w:szCs w:val="24"/>
        </w:rPr>
        <w:t>.</w:t>
      </w:r>
    </w:p>
    <w:p w14:paraId="4E1D693C" w14:textId="361352E0" w:rsidR="002C0FB8" w:rsidRPr="00E20483" w:rsidRDefault="002C0FB8" w:rsidP="004B15D0">
      <w:pPr>
        <w:pStyle w:val="ListParagraph"/>
        <w:numPr>
          <w:ilvl w:val="0"/>
          <w:numId w:val="32"/>
        </w:numPr>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Other</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Authors report a perspective other than those listed above.</w:t>
      </w:r>
    </w:p>
    <w:p w14:paraId="44903D43" w14:textId="43E2C3AA" w:rsidR="002C0FB8" w:rsidRPr="00E20483" w:rsidRDefault="002C0FB8" w:rsidP="004B15D0">
      <w:pPr>
        <w:pStyle w:val="ListParagraph"/>
        <w:numPr>
          <w:ilvl w:val="0"/>
          <w:numId w:val="32"/>
        </w:numPr>
        <w:spacing w:after="120"/>
        <w:ind w:left="1800"/>
        <w:rPr>
          <w:rFonts w:ascii="GibsonLight" w:eastAsia="Arial Unicode MS" w:hAnsi="GibsonLight"/>
          <w:spacing w:val="12"/>
          <w:sz w:val="22"/>
          <w:szCs w:val="24"/>
        </w:rPr>
      </w:pPr>
      <w:r w:rsidRPr="00E20483">
        <w:rPr>
          <w:rFonts w:ascii="GibsonLight" w:eastAsia="Arial Unicode MS" w:hAnsi="GibsonLight"/>
          <w:b/>
          <w:spacing w:val="12"/>
          <w:sz w:val="22"/>
          <w:szCs w:val="24"/>
        </w:rPr>
        <w:t>Not Stated/Could Not Be Determined</w:t>
      </w:r>
      <w:r w:rsidR="007174B9" w:rsidRPr="00E20483">
        <w:rPr>
          <w:rFonts w:ascii="GibsonLight" w:eastAsia="Arial Unicode MS" w:hAnsi="GibsonLight"/>
          <w:spacing w:val="12"/>
          <w:sz w:val="22"/>
          <w:szCs w:val="24"/>
        </w:rPr>
        <w:t>:</w:t>
      </w:r>
      <w:r w:rsidRPr="00E20483">
        <w:rPr>
          <w:rFonts w:ascii="GibsonLight" w:eastAsia="Arial Unicode MS" w:hAnsi="GibsonLight"/>
          <w:b/>
          <w:spacing w:val="12"/>
          <w:sz w:val="22"/>
          <w:szCs w:val="24"/>
        </w:rPr>
        <w:t xml:space="preserve"> </w:t>
      </w:r>
      <w:r w:rsidRPr="00E20483">
        <w:rPr>
          <w:rFonts w:ascii="GibsonLight" w:eastAsia="Arial Unicode MS" w:hAnsi="GibsonLight"/>
          <w:spacing w:val="12"/>
          <w:sz w:val="22"/>
          <w:szCs w:val="24"/>
        </w:rPr>
        <w:t>Authors did not provide sufficient information to determine type of costs or benefits evaluated.</w:t>
      </w:r>
    </w:p>
    <w:p w14:paraId="419789F4" w14:textId="37528C74" w:rsidR="00C30D86" w:rsidRPr="00E20483" w:rsidRDefault="00C30D86" w:rsidP="004B15D0">
      <w:pPr>
        <w:pStyle w:val="BodyTextIndent3"/>
        <w:numPr>
          <w:ilvl w:val="0"/>
          <w:numId w:val="14"/>
        </w:numPr>
        <w:spacing w:after="120"/>
        <w:ind w:left="360"/>
        <w:rPr>
          <w:rFonts w:ascii="GibsonLight" w:eastAsia="Arial Unicode MS" w:hAnsi="GibsonLight"/>
          <w:b/>
          <w:spacing w:val="12"/>
          <w:sz w:val="22"/>
        </w:rPr>
      </w:pPr>
      <w:r w:rsidRPr="00E20483">
        <w:rPr>
          <w:rFonts w:ascii="GibsonLight" w:eastAsia="Arial Unicode MS" w:hAnsi="GibsonLight"/>
          <w:b/>
          <w:spacing w:val="12"/>
          <w:sz w:val="22"/>
        </w:rPr>
        <w:t>Comments</w:t>
      </w:r>
      <w:r w:rsidR="007174B9" w:rsidRPr="00E20483">
        <w:rPr>
          <w:rFonts w:ascii="GibsonLight" w:eastAsia="Arial Unicode MS" w:hAnsi="GibsonLight"/>
          <w:spacing w:val="12"/>
          <w:sz w:val="22"/>
        </w:rPr>
        <w:t>:</w:t>
      </w:r>
      <w:r w:rsidRPr="00E20483">
        <w:rPr>
          <w:rFonts w:ascii="GibsonLight" w:eastAsia="Arial Unicode MS" w:hAnsi="GibsonLight"/>
          <w:b/>
          <w:spacing w:val="12"/>
          <w:sz w:val="22"/>
        </w:rPr>
        <w:t xml:space="preserve"> </w:t>
      </w:r>
      <w:r w:rsidR="00652378" w:rsidRPr="00E20483">
        <w:rPr>
          <w:rFonts w:ascii="GibsonLight" w:eastAsia="Arial Unicode MS" w:hAnsi="GibsonLight"/>
          <w:spacing w:val="12"/>
          <w:sz w:val="22"/>
          <w:szCs w:val="22"/>
        </w:rPr>
        <w:t>Any general, notable comments regarding the ratio, or information that was not captured elsewhere.</w:t>
      </w:r>
    </w:p>
    <w:p w14:paraId="738E8868" w14:textId="77777777" w:rsidR="00C30D86" w:rsidRPr="00415E50" w:rsidRDefault="00C30D86" w:rsidP="004B15D0">
      <w:pPr>
        <w:spacing w:after="120"/>
        <w:rPr>
          <w:rFonts w:ascii="GibsonLight" w:eastAsia="Arial Unicode MS" w:hAnsi="GibsonLight"/>
          <w:b/>
          <w:spacing w:val="12"/>
          <w:sz w:val="24"/>
          <w:szCs w:val="24"/>
        </w:rPr>
      </w:pPr>
    </w:p>
    <w:p w14:paraId="3E13F9CA" w14:textId="77777777" w:rsidR="00C30D86" w:rsidRPr="004F0578" w:rsidRDefault="00C30D86" w:rsidP="004B15D0">
      <w:pPr>
        <w:spacing w:after="120"/>
        <w:rPr>
          <w:rFonts w:ascii="GibsonLight" w:eastAsia="Arial Unicode MS" w:hAnsi="GibsonLight"/>
          <w:b/>
          <w:spacing w:val="12"/>
          <w:sz w:val="22"/>
          <w:szCs w:val="22"/>
        </w:rPr>
      </w:pPr>
    </w:p>
    <w:p w14:paraId="35FEDED3" w14:textId="1C5E5BBA" w:rsidR="009F13E7" w:rsidRPr="004F0578" w:rsidRDefault="009F13E7" w:rsidP="004B15D0">
      <w:pPr>
        <w:autoSpaceDE/>
        <w:autoSpaceDN/>
        <w:spacing w:after="120"/>
        <w:rPr>
          <w:rFonts w:ascii="GibsonLight" w:eastAsia="Arial Unicode MS" w:hAnsi="GibsonLight"/>
          <w:spacing w:val="12"/>
        </w:rPr>
      </w:pPr>
    </w:p>
    <w:p w14:paraId="7BB58372" w14:textId="77777777" w:rsidR="009F13E7" w:rsidRPr="004F0578" w:rsidRDefault="009F13E7" w:rsidP="004B15D0">
      <w:pPr>
        <w:spacing w:after="120"/>
        <w:rPr>
          <w:rFonts w:ascii="GibsonLight" w:eastAsia="Arial Unicode MS" w:hAnsi="GibsonLight"/>
          <w:spacing w:val="12"/>
        </w:rPr>
      </w:pPr>
    </w:p>
    <w:p w14:paraId="5F01127C" w14:textId="77777777" w:rsidR="003D0549" w:rsidRPr="004F0578" w:rsidRDefault="003D0549" w:rsidP="004B15D0">
      <w:pPr>
        <w:autoSpaceDE/>
        <w:autoSpaceDN/>
        <w:spacing w:after="120"/>
        <w:rPr>
          <w:rFonts w:ascii="GibsonLight" w:eastAsia="Arial Unicode MS" w:hAnsi="GibsonLight"/>
          <w:bCs/>
          <w:smallCaps/>
          <w:spacing w:val="12"/>
          <w:sz w:val="36"/>
          <w:szCs w:val="24"/>
        </w:rPr>
      </w:pPr>
      <w:r w:rsidRPr="004F0578">
        <w:rPr>
          <w:rFonts w:ascii="GibsonLight" w:eastAsia="Arial Unicode MS" w:hAnsi="GibsonLight"/>
          <w:spacing w:val="12"/>
        </w:rPr>
        <w:br w:type="page"/>
      </w:r>
    </w:p>
    <w:p w14:paraId="2509F5C5" w14:textId="0C7E09F3" w:rsidR="009F13E7" w:rsidRPr="009278C6" w:rsidRDefault="009F13E7" w:rsidP="004B15D0">
      <w:pPr>
        <w:pStyle w:val="Heading2"/>
        <w:numPr>
          <w:ilvl w:val="0"/>
          <w:numId w:val="0"/>
        </w:numPr>
        <w:spacing w:after="120"/>
        <w:jc w:val="left"/>
        <w:rPr>
          <w:rFonts w:ascii="Gibson" w:eastAsia="Arial Unicode MS" w:hAnsi="Gibson" w:cs="Times New Roman"/>
          <w:spacing w:val="12"/>
          <w:u w:val="single"/>
        </w:rPr>
      </w:pPr>
      <w:bookmarkStart w:id="25" w:name="_Toc100072042"/>
      <w:r w:rsidRPr="009278C6">
        <w:rPr>
          <w:rFonts w:ascii="Gibson" w:eastAsia="Arial Unicode MS" w:hAnsi="Gibson" w:cs="Times New Roman"/>
          <w:spacing w:val="12"/>
          <w:u w:val="single"/>
        </w:rPr>
        <w:lastRenderedPageBreak/>
        <w:t xml:space="preserve">Utility </w:t>
      </w:r>
      <w:r w:rsidR="00AB3AB4" w:rsidRPr="009278C6">
        <w:rPr>
          <w:rFonts w:ascii="Gibson" w:eastAsia="Arial Unicode MS" w:hAnsi="Gibson" w:cs="Times New Roman"/>
          <w:spacing w:val="12"/>
          <w:u w:val="single"/>
        </w:rPr>
        <w:t xml:space="preserve">or Disability </w:t>
      </w:r>
      <w:r w:rsidRPr="009278C6">
        <w:rPr>
          <w:rFonts w:ascii="Gibson" w:eastAsia="Arial Unicode MS" w:hAnsi="Gibson" w:cs="Times New Roman"/>
          <w:spacing w:val="12"/>
          <w:u w:val="single"/>
        </w:rPr>
        <w:t>Weight</w:t>
      </w:r>
      <w:r w:rsidR="003D0549" w:rsidRPr="009278C6">
        <w:rPr>
          <w:rFonts w:ascii="Gibson" w:eastAsia="Arial Unicode MS" w:hAnsi="Gibson" w:cs="Times New Roman"/>
          <w:spacing w:val="12"/>
          <w:u w:val="single"/>
        </w:rPr>
        <w:t>s</w:t>
      </w:r>
      <w:r w:rsidRPr="009278C6">
        <w:rPr>
          <w:rFonts w:ascii="Gibson" w:eastAsia="Arial Unicode MS" w:hAnsi="Gibson" w:cs="Times New Roman"/>
          <w:spacing w:val="12"/>
          <w:u w:val="single"/>
        </w:rPr>
        <w:t xml:space="preserve"> </w:t>
      </w:r>
      <w:r w:rsidR="009278C6" w:rsidRPr="009278C6">
        <w:rPr>
          <w:rFonts w:ascii="Gibson" w:eastAsia="Arial Unicode MS" w:hAnsi="Gibson" w:cs="Times New Roman"/>
          <w:spacing w:val="12"/>
          <w:u w:val="single"/>
        </w:rPr>
        <w:t>Form</w:t>
      </w:r>
      <w:bookmarkEnd w:id="25"/>
    </w:p>
    <w:p w14:paraId="6D50ECEE" w14:textId="20A57703" w:rsidR="007E73DB" w:rsidRPr="00E20483" w:rsidRDefault="007E73DB" w:rsidP="004B15D0">
      <w:pPr>
        <w:spacing w:after="120"/>
        <w:rPr>
          <w:rFonts w:ascii="GibsonLight" w:eastAsia="Arial Unicode MS" w:hAnsi="GibsonLight"/>
          <w:spacing w:val="12"/>
          <w:sz w:val="22"/>
          <w:szCs w:val="22"/>
        </w:rPr>
      </w:pPr>
      <w:r w:rsidRPr="00E20483">
        <w:rPr>
          <w:rFonts w:ascii="GibsonLight" w:eastAsia="Arial Unicode MS" w:hAnsi="GibsonLight"/>
          <w:spacing w:val="12"/>
          <w:sz w:val="22"/>
          <w:szCs w:val="22"/>
        </w:rPr>
        <w:t xml:space="preserve">Base utility </w:t>
      </w:r>
      <w:r w:rsidR="003B2A98" w:rsidRPr="00E20483">
        <w:rPr>
          <w:rFonts w:ascii="GibsonLight" w:eastAsia="Arial Unicode MS" w:hAnsi="GibsonLight"/>
          <w:spacing w:val="12"/>
          <w:sz w:val="22"/>
          <w:szCs w:val="22"/>
        </w:rPr>
        <w:t xml:space="preserve">or disability </w:t>
      </w:r>
      <w:r w:rsidRPr="00E20483">
        <w:rPr>
          <w:rFonts w:ascii="GibsonLight" w:eastAsia="Arial Unicode MS" w:hAnsi="GibsonLight"/>
          <w:spacing w:val="12"/>
          <w:sz w:val="22"/>
          <w:szCs w:val="22"/>
        </w:rPr>
        <w:t>values are a value between 0 and 1 that represent a specific health state or disease.</w:t>
      </w:r>
      <w:r w:rsidR="0049113F" w:rsidRPr="00E20483">
        <w:rPr>
          <w:rFonts w:ascii="GibsonLight" w:eastAsia="Arial Unicode MS" w:hAnsi="GibsonLight"/>
          <w:spacing w:val="12"/>
          <w:sz w:val="22"/>
          <w:szCs w:val="22"/>
        </w:rPr>
        <w:t xml:space="preserve"> </w:t>
      </w:r>
      <w:r w:rsidRPr="00E20483">
        <w:rPr>
          <w:rFonts w:ascii="GibsonLight" w:eastAsia="Arial Unicode MS" w:hAnsi="GibsonLight"/>
          <w:spacing w:val="12"/>
          <w:sz w:val="22"/>
          <w:szCs w:val="22"/>
        </w:rPr>
        <w:t>One is “perfect health” and zero is “death”.</w:t>
      </w:r>
      <w:r w:rsidR="0049113F" w:rsidRPr="00E20483">
        <w:rPr>
          <w:rFonts w:ascii="GibsonLight" w:eastAsia="Arial Unicode MS" w:hAnsi="GibsonLight"/>
          <w:spacing w:val="12"/>
          <w:sz w:val="22"/>
          <w:szCs w:val="22"/>
        </w:rPr>
        <w:t xml:space="preserve"> </w:t>
      </w:r>
      <w:r w:rsidR="000A5798" w:rsidRPr="00E20483">
        <w:rPr>
          <w:rFonts w:ascii="GibsonLight" w:eastAsia="Arial Unicode MS" w:hAnsi="GibsonLight"/>
          <w:spacing w:val="12"/>
          <w:sz w:val="22"/>
          <w:szCs w:val="22"/>
        </w:rPr>
        <w:t>V</w:t>
      </w:r>
      <w:r w:rsidRPr="00E20483">
        <w:rPr>
          <w:rFonts w:ascii="GibsonLight" w:eastAsia="Arial Unicode MS" w:hAnsi="GibsonLight"/>
          <w:spacing w:val="12"/>
          <w:sz w:val="22"/>
          <w:szCs w:val="22"/>
        </w:rPr>
        <w:t>alues closer to 1 represent less severe health states, while values closer to 0 represent more severe health states.</w:t>
      </w:r>
    </w:p>
    <w:p w14:paraId="5B963347" w14:textId="7641118B" w:rsidR="007E73DB" w:rsidRPr="00E20483" w:rsidRDefault="007E73DB" w:rsidP="004B15D0">
      <w:pPr>
        <w:spacing w:after="120"/>
        <w:rPr>
          <w:rFonts w:ascii="GibsonLight" w:eastAsia="Arial Unicode MS" w:hAnsi="GibsonLight"/>
          <w:b/>
          <w:spacing w:val="12"/>
          <w:sz w:val="22"/>
          <w:szCs w:val="22"/>
        </w:rPr>
      </w:pPr>
      <w:r w:rsidRPr="00E20483">
        <w:rPr>
          <w:rFonts w:ascii="GibsonLight" w:eastAsia="Arial Unicode MS" w:hAnsi="GibsonLight"/>
          <w:b/>
          <w:spacing w:val="12"/>
          <w:sz w:val="22"/>
          <w:szCs w:val="22"/>
        </w:rPr>
        <w:t xml:space="preserve">Utility </w:t>
      </w:r>
      <w:r w:rsidR="003B2A98" w:rsidRPr="00E20483">
        <w:rPr>
          <w:rFonts w:ascii="GibsonLight" w:eastAsia="Arial Unicode MS" w:hAnsi="GibsonLight"/>
          <w:b/>
          <w:spacing w:val="12"/>
          <w:sz w:val="22"/>
          <w:szCs w:val="22"/>
        </w:rPr>
        <w:t xml:space="preserve">or disability </w:t>
      </w:r>
      <w:r w:rsidRPr="00E20483">
        <w:rPr>
          <w:rFonts w:ascii="GibsonLight" w:eastAsia="Arial Unicode MS" w:hAnsi="GibsonLight"/>
          <w:b/>
          <w:spacing w:val="12"/>
          <w:sz w:val="22"/>
          <w:szCs w:val="22"/>
        </w:rPr>
        <w:t xml:space="preserve">weights we do </w:t>
      </w:r>
      <w:r w:rsidRPr="00E20483">
        <w:rPr>
          <w:rFonts w:ascii="GibsonLight" w:eastAsia="Arial Unicode MS" w:hAnsi="GibsonLight"/>
          <w:b/>
          <w:i/>
          <w:spacing w:val="12"/>
          <w:sz w:val="22"/>
          <w:szCs w:val="22"/>
        </w:rPr>
        <w:t>not</w:t>
      </w:r>
      <w:r w:rsidRPr="00E20483">
        <w:rPr>
          <w:rFonts w:ascii="GibsonLight" w:eastAsia="Arial Unicode MS" w:hAnsi="GibsonLight"/>
          <w:b/>
          <w:spacing w:val="12"/>
          <w:sz w:val="22"/>
          <w:szCs w:val="22"/>
        </w:rPr>
        <w:t xml:space="preserve"> collect</w:t>
      </w:r>
      <w:r w:rsidR="007174B9" w:rsidRPr="00E20483">
        <w:rPr>
          <w:rFonts w:ascii="GibsonLight" w:eastAsia="Arial Unicode MS" w:hAnsi="GibsonLight"/>
          <w:spacing w:val="12"/>
          <w:sz w:val="22"/>
          <w:szCs w:val="22"/>
        </w:rPr>
        <w:t>:</w:t>
      </w:r>
    </w:p>
    <w:p w14:paraId="497A24E5" w14:textId="5569B705" w:rsidR="007E73DB" w:rsidRPr="00E20483" w:rsidRDefault="007E73DB" w:rsidP="004B15D0">
      <w:pPr>
        <w:pStyle w:val="ListParagraph"/>
        <w:numPr>
          <w:ilvl w:val="0"/>
          <w:numId w:val="9"/>
        </w:numPr>
        <w:rPr>
          <w:rFonts w:ascii="GibsonLight" w:eastAsia="Arial Unicode MS" w:hAnsi="GibsonLight"/>
          <w:spacing w:val="12"/>
          <w:sz w:val="22"/>
          <w:szCs w:val="22"/>
        </w:rPr>
      </w:pPr>
      <w:r w:rsidRPr="00E20483">
        <w:rPr>
          <w:rFonts w:ascii="GibsonLight" w:eastAsia="Arial Unicode MS" w:hAnsi="GibsonLight"/>
          <w:spacing w:val="12"/>
          <w:sz w:val="22"/>
          <w:szCs w:val="22"/>
        </w:rPr>
        <w:t>0 for death</w:t>
      </w:r>
    </w:p>
    <w:p w14:paraId="76F5F94B" w14:textId="1824CB80" w:rsidR="007E73DB" w:rsidRPr="00E20483" w:rsidRDefault="007E73DB" w:rsidP="004B15D0">
      <w:pPr>
        <w:pStyle w:val="ListParagraph"/>
        <w:numPr>
          <w:ilvl w:val="0"/>
          <w:numId w:val="9"/>
        </w:numPr>
        <w:rPr>
          <w:rFonts w:ascii="GibsonLight" w:eastAsia="Arial Unicode MS" w:hAnsi="GibsonLight"/>
          <w:spacing w:val="12"/>
          <w:sz w:val="22"/>
          <w:szCs w:val="22"/>
        </w:rPr>
      </w:pPr>
      <w:r w:rsidRPr="00E20483">
        <w:rPr>
          <w:rFonts w:ascii="GibsonLight" w:eastAsia="Arial Unicode MS" w:hAnsi="GibsonLight"/>
          <w:spacing w:val="12"/>
          <w:sz w:val="22"/>
          <w:szCs w:val="22"/>
        </w:rPr>
        <w:t>1 for perfect health</w:t>
      </w:r>
    </w:p>
    <w:p w14:paraId="539F0F8F" w14:textId="3B13A160" w:rsidR="007E73DB" w:rsidRPr="00E20483" w:rsidRDefault="007E73DB" w:rsidP="004B15D0">
      <w:pPr>
        <w:pStyle w:val="ListParagraph"/>
        <w:numPr>
          <w:ilvl w:val="0"/>
          <w:numId w:val="9"/>
        </w:numPr>
        <w:rPr>
          <w:rFonts w:ascii="GibsonLight" w:eastAsia="Arial Unicode MS" w:hAnsi="GibsonLight"/>
          <w:spacing w:val="12"/>
          <w:sz w:val="22"/>
          <w:szCs w:val="22"/>
        </w:rPr>
      </w:pPr>
      <w:r w:rsidRPr="00E20483">
        <w:rPr>
          <w:rFonts w:ascii="GibsonLight" w:eastAsia="Arial Unicode MS" w:hAnsi="GibsonLight"/>
          <w:spacing w:val="12"/>
          <w:sz w:val="22"/>
          <w:szCs w:val="22"/>
        </w:rPr>
        <w:t>Age specific base utilities</w:t>
      </w:r>
      <w:r w:rsidR="000A5798" w:rsidRPr="00E20483">
        <w:rPr>
          <w:rFonts w:ascii="GibsonLight" w:eastAsia="Arial Unicode MS" w:hAnsi="GibsonLight"/>
          <w:spacing w:val="12"/>
          <w:sz w:val="22"/>
          <w:szCs w:val="22"/>
        </w:rPr>
        <w:t xml:space="preserve"> (no additional health characteristics specified)</w:t>
      </w:r>
    </w:p>
    <w:p w14:paraId="569FAC37" w14:textId="74E31D5F" w:rsidR="007E73DB" w:rsidRDefault="007E73DB" w:rsidP="004B15D0">
      <w:pPr>
        <w:pStyle w:val="ListParagraph"/>
        <w:numPr>
          <w:ilvl w:val="0"/>
          <w:numId w:val="9"/>
        </w:numPr>
        <w:spacing w:after="120"/>
        <w:rPr>
          <w:rFonts w:ascii="GibsonLight" w:eastAsia="Arial Unicode MS" w:hAnsi="GibsonLight"/>
          <w:spacing w:val="12"/>
          <w:sz w:val="22"/>
          <w:szCs w:val="22"/>
        </w:rPr>
      </w:pPr>
      <w:r w:rsidRPr="00E20483">
        <w:rPr>
          <w:rFonts w:ascii="GibsonLight" w:eastAsia="Arial Unicode MS" w:hAnsi="GibsonLight"/>
          <w:spacing w:val="12"/>
          <w:sz w:val="22"/>
          <w:szCs w:val="22"/>
        </w:rPr>
        <w:t xml:space="preserve">In randomized controlled trials, we are only interested in the baseline utilities (pre-treatment) that represent </w:t>
      </w:r>
      <w:r w:rsidR="001E2B84" w:rsidRPr="00E20483">
        <w:rPr>
          <w:rFonts w:ascii="GibsonLight" w:eastAsia="Arial Unicode MS" w:hAnsi="GibsonLight"/>
          <w:spacing w:val="12"/>
          <w:sz w:val="22"/>
          <w:szCs w:val="22"/>
        </w:rPr>
        <w:t>patients with a specific clinical condition</w:t>
      </w:r>
      <w:r w:rsidRPr="00E20483">
        <w:rPr>
          <w:rFonts w:ascii="GibsonLight" w:eastAsia="Arial Unicode MS" w:hAnsi="GibsonLight"/>
          <w:spacing w:val="12"/>
          <w:sz w:val="22"/>
          <w:szCs w:val="22"/>
        </w:rPr>
        <w:t>.</w:t>
      </w:r>
      <w:r w:rsidR="0049113F" w:rsidRPr="00E20483">
        <w:rPr>
          <w:rFonts w:ascii="GibsonLight" w:eastAsia="Arial Unicode MS" w:hAnsi="GibsonLight"/>
          <w:spacing w:val="12"/>
          <w:sz w:val="22"/>
          <w:szCs w:val="22"/>
        </w:rPr>
        <w:t xml:space="preserve"> </w:t>
      </w:r>
    </w:p>
    <w:p w14:paraId="1900171A" w14:textId="77777777" w:rsidR="00E20483" w:rsidRPr="00E20483" w:rsidRDefault="00E20483" w:rsidP="00E20483">
      <w:pPr>
        <w:pStyle w:val="ListParagraph"/>
        <w:spacing w:after="120"/>
        <w:rPr>
          <w:rFonts w:ascii="GibsonLight" w:eastAsia="Arial Unicode MS" w:hAnsi="GibsonLight"/>
          <w:spacing w:val="12"/>
          <w:sz w:val="22"/>
          <w:szCs w:val="22"/>
        </w:rPr>
      </w:pPr>
    </w:p>
    <w:p w14:paraId="6A4E1E10" w14:textId="754CA919" w:rsidR="003B2A98" w:rsidRPr="009278C6" w:rsidRDefault="003B2A98" w:rsidP="00E20483">
      <w:pPr>
        <w:pStyle w:val="Heading3"/>
        <w:numPr>
          <w:ilvl w:val="0"/>
          <w:numId w:val="0"/>
        </w:numPr>
        <w:tabs>
          <w:tab w:val="left" w:pos="7567"/>
        </w:tabs>
        <w:spacing w:after="120"/>
        <w:rPr>
          <w:rFonts w:ascii="GibsonLight" w:eastAsia="Arial Unicode MS" w:hAnsi="GibsonLight"/>
          <w:spacing w:val="12"/>
          <w:sz w:val="28"/>
          <w:szCs w:val="24"/>
        </w:rPr>
      </w:pPr>
      <w:bookmarkStart w:id="26" w:name="_Toc100072043"/>
      <w:r w:rsidRPr="009278C6">
        <w:rPr>
          <w:rFonts w:ascii="GibsonLight" w:eastAsia="Arial Unicode MS" w:hAnsi="GibsonLight"/>
          <w:spacing w:val="12"/>
          <w:sz w:val="32"/>
          <w:szCs w:val="24"/>
        </w:rPr>
        <w:t>Utility or Disability Weight</w:t>
      </w:r>
      <w:bookmarkEnd w:id="26"/>
      <w:r w:rsidR="00E20483">
        <w:rPr>
          <w:rFonts w:ascii="GibsonLight" w:eastAsia="Arial Unicode MS" w:hAnsi="GibsonLight"/>
          <w:spacing w:val="12"/>
          <w:sz w:val="32"/>
          <w:szCs w:val="24"/>
        </w:rPr>
        <w:tab/>
      </w:r>
    </w:p>
    <w:p w14:paraId="06D36817" w14:textId="7EB619D7" w:rsidR="003B2A98" w:rsidRPr="00E20483" w:rsidRDefault="003B2A98" w:rsidP="004B15D0">
      <w:pPr>
        <w:numPr>
          <w:ilvl w:val="0"/>
          <w:numId w:val="2"/>
        </w:numPr>
        <w:tabs>
          <w:tab w:val="left" w:pos="360"/>
        </w:tabs>
        <w:spacing w:after="120"/>
        <w:rPr>
          <w:rFonts w:ascii="GibsonLight" w:eastAsia="Arial Unicode MS" w:hAnsi="GibsonLight"/>
          <w:b/>
          <w:spacing w:val="12"/>
          <w:sz w:val="22"/>
          <w:szCs w:val="22"/>
        </w:rPr>
      </w:pPr>
      <w:r w:rsidRPr="00E20483">
        <w:rPr>
          <w:rFonts w:ascii="GibsonLight" w:eastAsia="Arial Unicode MS" w:hAnsi="GibsonLight"/>
          <w:b/>
          <w:spacing w:val="12"/>
          <w:sz w:val="22"/>
          <w:szCs w:val="22"/>
        </w:rPr>
        <w:t>Health State</w:t>
      </w:r>
      <w:r w:rsidR="007174B9" w:rsidRPr="00E20483">
        <w:rPr>
          <w:rFonts w:ascii="GibsonLight" w:eastAsia="Arial Unicode MS" w:hAnsi="GibsonLight"/>
          <w:spacing w:val="12"/>
          <w:sz w:val="22"/>
          <w:szCs w:val="22"/>
        </w:rPr>
        <w:t>:</w:t>
      </w:r>
      <w:r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Description of the utility weight for the spec</w:t>
      </w:r>
      <w:r w:rsidR="00652378" w:rsidRPr="00E20483">
        <w:rPr>
          <w:rFonts w:ascii="GibsonLight" w:eastAsia="Arial Unicode MS" w:hAnsi="GibsonLight"/>
          <w:spacing w:val="12"/>
          <w:sz w:val="22"/>
          <w:szCs w:val="22"/>
        </w:rPr>
        <w:t>ific health state/condition</w:t>
      </w:r>
      <w:r w:rsidR="008C38E2" w:rsidRPr="00E20483">
        <w:rPr>
          <w:rFonts w:ascii="GibsonLight" w:eastAsia="Arial Unicode MS" w:hAnsi="GibsonLight"/>
          <w:spacing w:val="12"/>
          <w:sz w:val="22"/>
          <w:szCs w:val="22"/>
        </w:rPr>
        <w:t>.</w:t>
      </w:r>
    </w:p>
    <w:p w14:paraId="31A8DA27" w14:textId="789CDC58" w:rsidR="000F66D1" w:rsidRPr="00E20483" w:rsidRDefault="00FC4F45" w:rsidP="004B15D0">
      <w:pPr>
        <w:numPr>
          <w:ilvl w:val="0"/>
          <w:numId w:val="2"/>
        </w:numPr>
        <w:tabs>
          <w:tab w:val="left" w:pos="360"/>
        </w:tabs>
        <w:spacing w:after="120"/>
        <w:rPr>
          <w:rFonts w:ascii="GibsonLight" w:eastAsia="Arial Unicode MS" w:hAnsi="GibsonLight"/>
          <w:b/>
          <w:spacing w:val="12"/>
          <w:sz w:val="22"/>
          <w:szCs w:val="22"/>
        </w:rPr>
      </w:pPr>
      <w:r w:rsidRPr="00E20483">
        <w:rPr>
          <w:rFonts w:ascii="GibsonLight" w:eastAsia="Arial Unicode MS" w:hAnsi="GibsonLight"/>
          <w:b/>
          <w:spacing w:val="12"/>
          <w:sz w:val="22"/>
          <w:szCs w:val="22"/>
        </w:rPr>
        <w:t>Utility or Disability V</w:t>
      </w:r>
      <w:r w:rsidR="000F66D1" w:rsidRPr="00E20483">
        <w:rPr>
          <w:rFonts w:ascii="GibsonLight" w:eastAsia="Arial Unicode MS" w:hAnsi="GibsonLight"/>
          <w:b/>
          <w:spacing w:val="12"/>
          <w:sz w:val="22"/>
          <w:szCs w:val="22"/>
        </w:rPr>
        <w:t>alue</w:t>
      </w:r>
      <w:r w:rsidR="008E6B1B" w:rsidRPr="00E20483">
        <w:rPr>
          <w:rFonts w:ascii="GibsonLight" w:eastAsia="Arial Unicode MS" w:hAnsi="GibsonLight"/>
          <w:b/>
          <w:spacing w:val="12"/>
          <w:sz w:val="22"/>
          <w:szCs w:val="22"/>
        </w:rPr>
        <w:t xml:space="preserve">: </w:t>
      </w:r>
    </w:p>
    <w:p w14:paraId="4C584416" w14:textId="5A1A46F4" w:rsidR="000F66D1" w:rsidRPr="00E20483" w:rsidRDefault="000F66D1"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Utility or Disability Value</w:t>
      </w:r>
      <w:r w:rsidR="007174B9" w:rsidRPr="00E20483">
        <w:rPr>
          <w:rFonts w:ascii="GibsonLight" w:eastAsia="Arial Unicode MS" w:hAnsi="GibsonLight"/>
          <w:spacing w:val="12"/>
          <w:sz w:val="22"/>
          <w:szCs w:val="22"/>
        </w:rPr>
        <w:t>:</w:t>
      </w:r>
      <w:r w:rsidR="00FC4F45" w:rsidRPr="00E20483">
        <w:rPr>
          <w:rFonts w:ascii="GibsonLight" w:eastAsia="Arial Unicode MS" w:hAnsi="GibsonLight"/>
          <w:b/>
          <w:spacing w:val="12"/>
          <w:sz w:val="22"/>
          <w:szCs w:val="22"/>
        </w:rPr>
        <w:t xml:space="preserve"> </w:t>
      </w:r>
      <w:r w:rsidRPr="00E20483">
        <w:rPr>
          <w:rFonts w:ascii="GibsonLight" w:eastAsia="Arial Unicode MS" w:hAnsi="GibsonLight"/>
          <w:spacing w:val="12"/>
          <w:sz w:val="22"/>
          <w:szCs w:val="22"/>
        </w:rPr>
        <w:t>The weight is a regular, base util</w:t>
      </w:r>
      <w:r w:rsidR="00652378" w:rsidRPr="00E20483">
        <w:rPr>
          <w:rFonts w:ascii="GibsonLight" w:eastAsia="Arial Unicode MS" w:hAnsi="GibsonLight"/>
          <w:spacing w:val="12"/>
          <w:sz w:val="22"/>
          <w:szCs w:val="22"/>
        </w:rPr>
        <w:t>ity value.</w:t>
      </w:r>
    </w:p>
    <w:p w14:paraId="2E78C59D" w14:textId="5787ACDE" w:rsidR="000F66D1" w:rsidRPr="00E20483" w:rsidRDefault="000F66D1"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Disutility</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652378" w:rsidRPr="00E20483">
        <w:rPr>
          <w:rFonts w:ascii="GibsonLight" w:eastAsia="Arial Unicode MS" w:hAnsi="GibsonLight"/>
          <w:spacing w:val="12"/>
          <w:sz w:val="22"/>
          <w:szCs w:val="22"/>
        </w:rPr>
        <w:t>S</w:t>
      </w:r>
      <w:r w:rsidRPr="00E20483">
        <w:rPr>
          <w:rFonts w:ascii="GibsonLight" w:eastAsia="Arial Unicode MS" w:hAnsi="GibsonLight"/>
          <w:spacing w:val="12"/>
          <w:sz w:val="22"/>
          <w:szCs w:val="22"/>
        </w:rPr>
        <w:t xml:space="preserve">mall decreases to a base utility value. </w:t>
      </w:r>
      <w:r w:rsidR="00652378" w:rsidRPr="00E20483">
        <w:rPr>
          <w:rFonts w:ascii="GibsonLight" w:eastAsia="Arial Unicode MS" w:hAnsi="GibsonLight"/>
          <w:spacing w:val="12"/>
          <w:sz w:val="22"/>
          <w:szCs w:val="22"/>
        </w:rPr>
        <w:t>They are s</w:t>
      </w:r>
      <w:r w:rsidRPr="00E20483">
        <w:rPr>
          <w:rFonts w:ascii="GibsonLight" w:eastAsia="Arial Unicode MS" w:hAnsi="GibsonLight"/>
          <w:spacing w:val="12"/>
          <w:sz w:val="22"/>
          <w:szCs w:val="22"/>
        </w:rPr>
        <w:t>ometimes referred to as a “decrement”</w:t>
      </w:r>
      <w:r w:rsidR="0071229E"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these represent the loss of util</w:t>
      </w:r>
      <w:r w:rsidR="00652378" w:rsidRPr="00E20483">
        <w:rPr>
          <w:rFonts w:ascii="GibsonLight" w:eastAsia="Arial Unicode MS" w:hAnsi="GibsonLight"/>
          <w:spacing w:val="12"/>
          <w:sz w:val="22"/>
          <w:szCs w:val="22"/>
        </w:rPr>
        <w:t>ity from a base utility weight.</w:t>
      </w:r>
    </w:p>
    <w:p w14:paraId="65CFCFB4" w14:textId="725EF4AA" w:rsidR="000F66D1" w:rsidRPr="00E20483" w:rsidRDefault="000F66D1"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Incremental Gain</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w:t>
      </w:r>
      <w:r w:rsidR="00652378" w:rsidRPr="00E20483">
        <w:rPr>
          <w:rFonts w:ascii="GibsonLight" w:eastAsia="Arial Unicode MS" w:hAnsi="GibsonLight"/>
          <w:spacing w:val="12"/>
          <w:sz w:val="22"/>
          <w:szCs w:val="22"/>
        </w:rPr>
        <w:t>S</w:t>
      </w:r>
      <w:r w:rsidRPr="00E20483">
        <w:rPr>
          <w:rFonts w:ascii="GibsonLight" w:eastAsia="Arial Unicode MS" w:hAnsi="GibsonLight"/>
          <w:spacing w:val="12"/>
          <w:sz w:val="22"/>
          <w:szCs w:val="22"/>
        </w:rPr>
        <w:t xml:space="preserve">mall increases to a base utility value. Positive increases to a base utility weight will often represent a treatment benefit or positive gain in patient quality of life that would increase an individual’s baseline </w:t>
      </w:r>
      <w:r w:rsidR="008E6B1B" w:rsidRPr="00E20483">
        <w:rPr>
          <w:rFonts w:ascii="GibsonLight" w:eastAsia="Arial Unicode MS" w:hAnsi="GibsonLight"/>
          <w:spacing w:val="12"/>
          <w:sz w:val="22"/>
          <w:szCs w:val="22"/>
        </w:rPr>
        <w:t>health-related quality of life.</w:t>
      </w:r>
    </w:p>
    <w:p w14:paraId="51179F3D" w14:textId="77777777" w:rsidR="000C0AA9" w:rsidRPr="00E20483" w:rsidRDefault="000C0AA9" w:rsidP="008E6B1B">
      <w:pPr>
        <w:spacing w:after="120"/>
        <w:rPr>
          <w:rFonts w:ascii="GibsonLight" w:eastAsia="Arial Unicode MS" w:hAnsi="GibsonLight"/>
          <w:spacing w:val="12"/>
          <w:sz w:val="22"/>
          <w:szCs w:val="22"/>
        </w:rPr>
      </w:pPr>
    </w:p>
    <w:p w14:paraId="4B16D1CA" w14:textId="457B02EE" w:rsidR="00AB3AB4" w:rsidRPr="004F0578" w:rsidRDefault="00AB3AB4" w:rsidP="004B15D0">
      <w:pPr>
        <w:pStyle w:val="Heading3"/>
        <w:numPr>
          <w:ilvl w:val="0"/>
          <w:numId w:val="0"/>
        </w:numPr>
        <w:spacing w:after="120"/>
        <w:rPr>
          <w:rFonts w:ascii="GibsonLight" w:eastAsia="Arial Unicode MS" w:hAnsi="GibsonLight"/>
          <w:spacing w:val="12"/>
          <w:sz w:val="28"/>
          <w:szCs w:val="24"/>
        </w:rPr>
      </w:pPr>
      <w:bookmarkStart w:id="27" w:name="_Toc100072044"/>
      <w:r w:rsidRPr="009278C6">
        <w:rPr>
          <w:rFonts w:ascii="GibsonLight" w:eastAsia="Arial Unicode MS" w:hAnsi="GibsonLight"/>
          <w:spacing w:val="12"/>
          <w:sz w:val="32"/>
          <w:szCs w:val="24"/>
        </w:rPr>
        <w:t>Sensitivity Analyses</w:t>
      </w:r>
      <w:bookmarkEnd w:id="27"/>
    </w:p>
    <w:p w14:paraId="55D4D948" w14:textId="69552D76" w:rsidR="00AB3AB4" w:rsidRPr="00E20483" w:rsidRDefault="00FC4F45" w:rsidP="004B15D0">
      <w:pPr>
        <w:pStyle w:val="ListParagraph"/>
        <w:numPr>
          <w:ilvl w:val="0"/>
          <w:numId w:val="8"/>
        </w:numPr>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Sensitivity Analyses</w:t>
      </w:r>
      <w:r w:rsidRPr="00E20483">
        <w:rPr>
          <w:rFonts w:ascii="GibsonLight" w:eastAsia="Arial Unicode MS" w:hAnsi="GibsonLight"/>
          <w:spacing w:val="12"/>
          <w:sz w:val="22"/>
          <w:szCs w:val="22"/>
        </w:rPr>
        <w:t>: If available, report</w:t>
      </w:r>
      <w:r w:rsidR="00652378" w:rsidRPr="00E20483">
        <w:rPr>
          <w:rFonts w:ascii="GibsonLight" w:eastAsia="Arial Unicode MS" w:hAnsi="GibsonLight"/>
          <w:spacing w:val="12"/>
          <w:sz w:val="22"/>
          <w:szCs w:val="22"/>
        </w:rPr>
        <w:t>s</w:t>
      </w:r>
      <w:r w:rsidRPr="00E20483">
        <w:rPr>
          <w:rFonts w:ascii="GibsonLight" w:eastAsia="Arial Unicode MS" w:hAnsi="GibsonLight"/>
          <w:spacing w:val="12"/>
          <w:sz w:val="22"/>
          <w:szCs w:val="22"/>
        </w:rPr>
        <w:t xml:space="preserve"> the confidence interval, range, standard deviation, and/or the standard error of the utility used in the sensitivity analyses</w:t>
      </w:r>
    </w:p>
    <w:p w14:paraId="0F7A7B96" w14:textId="77777777" w:rsidR="000C0AA9" w:rsidRPr="00E20483" w:rsidRDefault="000C0AA9" w:rsidP="004B15D0">
      <w:pPr>
        <w:spacing w:after="120"/>
        <w:ind w:left="720"/>
        <w:rPr>
          <w:rFonts w:ascii="GibsonLight" w:eastAsia="Arial Unicode MS" w:hAnsi="GibsonLight"/>
          <w:b/>
          <w:spacing w:val="12"/>
          <w:sz w:val="22"/>
          <w:szCs w:val="22"/>
        </w:rPr>
      </w:pPr>
    </w:p>
    <w:p w14:paraId="51A5E167" w14:textId="69A9F003" w:rsidR="00AB3AB4" w:rsidRPr="009278C6" w:rsidRDefault="00AB3AB4" w:rsidP="004B15D0">
      <w:pPr>
        <w:pStyle w:val="Heading3"/>
        <w:numPr>
          <w:ilvl w:val="0"/>
          <w:numId w:val="0"/>
        </w:numPr>
        <w:spacing w:after="120"/>
        <w:rPr>
          <w:rFonts w:ascii="GibsonLight" w:eastAsia="Arial Unicode MS" w:hAnsi="GibsonLight"/>
          <w:spacing w:val="12"/>
          <w:sz w:val="32"/>
          <w:szCs w:val="24"/>
        </w:rPr>
      </w:pPr>
      <w:bookmarkStart w:id="28" w:name="_Toc100072045"/>
      <w:r w:rsidRPr="009278C6">
        <w:rPr>
          <w:rFonts w:ascii="GibsonLight" w:eastAsia="Arial Unicode MS" w:hAnsi="GibsonLight"/>
          <w:spacing w:val="12"/>
          <w:sz w:val="32"/>
          <w:szCs w:val="24"/>
        </w:rPr>
        <w:t>Measurement Instrument/Estimation Methodology</w:t>
      </w:r>
      <w:bookmarkEnd w:id="28"/>
    </w:p>
    <w:p w14:paraId="15B3135C" w14:textId="03BDF0D9" w:rsidR="00AB3AB4" w:rsidRPr="00E20483" w:rsidRDefault="00AB3AB4" w:rsidP="004B15D0">
      <w:pPr>
        <w:pStyle w:val="ListParagraph"/>
        <w:numPr>
          <w:ilvl w:val="0"/>
          <w:numId w:val="8"/>
        </w:numPr>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Measures</w:t>
      </w:r>
      <w:r w:rsidR="007174B9" w:rsidRPr="00E20483">
        <w:rPr>
          <w:rFonts w:ascii="GibsonLight" w:eastAsia="Arial Unicode MS" w:hAnsi="GibsonLight"/>
          <w:spacing w:val="12"/>
          <w:sz w:val="22"/>
          <w:szCs w:val="22"/>
        </w:rPr>
        <w:t>:</w:t>
      </w:r>
      <w:r w:rsidR="00813578" w:rsidRPr="00E20483">
        <w:rPr>
          <w:rFonts w:ascii="GibsonLight" w:eastAsia="Arial Unicode MS" w:hAnsi="GibsonLight"/>
          <w:b/>
          <w:spacing w:val="12"/>
          <w:sz w:val="22"/>
          <w:szCs w:val="22"/>
        </w:rPr>
        <w:t xml:space="preserve"> </w:t>
      </w:r>
      <w:r w:rsidR="00FC4F45" w:rsidRPr="00E20483">
        <w:rPr>
          <w:rFonts w:ascii="GibsonLight" w:eastAsia="Arial Unicode MS" w:hAnsi="GibsonLight"/>
          <w:spacing w:val="12"/>
          <w:sz w:val="22"/>
          <w:szCs w:val="22"/>
        </w:rPr>
        <w:t>If available, r</w:t>
      </w:r>
      <w:r w:rsidR="00813578" w:rsidRPr="00E20483">
        <w:rPr>
          <w:rFonts w:ascii="GibsonLight" w:eastAsia="Arial Unicode MS" w:hAnsi="GibsonLight"/>
          <w:spacing w:val="12"/>
          <w:sz w:val="22"/>
          <w:szCs w:val="22"/>
        </w:rPr>
        <w:t>eport</w:t>
      </w:r>
      <w:r w:rsidR="00652378" w:rsidRPr="00E20483">
        <w:rPr>
          <w:rFonts w:ascii="GibsonLight" w:eastAsia="Arial Unicode MS" w:hAnsi="GibsonLight"/>
          <w:spacing w:val="12"/>
          <w:sz w:val="22"/>
          <w:szCs w:val="22"/>
        </w:rPr>
        <w:t>s</w:t>
      </w:r>
      <w:r w:rsidR="00813578" w:rsidRPr="00E20483">
        <w:rPr>
          <w:rFonts w:ascii="GibsonLight" w:eastAsia="Arial Unicode MS" w:hAnsi="GibsonLight"/>
          <w:spacing w:val="12"/>
          <w:sz w:val="22"/>
          <w:szCs w:val="22"/>
        </w:rPr>
        <w:t xml:space="preserve"> the estimation instrument/method as described in the </w:t>
      </w:r>
      <w:r w:rsidR="00EB3A1F" w:rsidRPr="00E20483">
        <w:rPr>
          <w:rFonts w:ascii="GibsonLight" w:eastAsia="Arial Unicode MS" w:hAnsi="GibsonLight"/>
          <w:spacing w:val="12"/>
          <w:sz w:val="22"/>
          <w:szCs w:val="22"/>
        </w:rPr>
        <w:t>study.</w:t>
      </w:r>
      <w:r w:rsidR="00813578" w:rsidRPr="00E20483">
        <w:rPr>
          <w:rFonts w:ascii="GibsonLight" w:eastAsia="Arial Unicode MS" w:hAnsi="GibsonLight"/>
          <w:spacing w:val="12"/>
          <w:sz w:val="22"/>
          <w:szCs w:val="22"/>
        </w:rPr>
        <w:t xml:space="preserve"> </w:t>
      </w:r>
    </w:p>
    <w:p w14:paraId="11FA78A8" w14:textId="76181E03" w:rsidR="00AB3AB4" w:rsidRPr="00E20483" w:rsidRDefault="00AB3AB4"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Measurement instrument/method not stated</w:t>
      </w:r>
      <w:r w:rsidR="00FC4F45" w:rsidRPr="00E20483">
        <w:rPr>
          <w:rFonts w:ascii="GibsonLight" w:eastAsia="Arial Unicode MS" w:hAnsi="GibsonLight"/>
          <w:spacing w:val="12"/>
          <w:sz w:val="22"/>
          <w:szCs w:val="22"/>
        </w:rPr>
        <w:t xml:space="preserve">: The </w:t>
      </w:r>
      <w:r w:rsidR="00EB3A1F" w:rsidRPr="00E20483">
        <w:rPr>
          <w:rFonts w:ascii="GibsonLight" w:eastAsia="Arial Unicode MS" w:hAnsi="GibsonLight"/>
          <w:spacing w:val="12"/>
          <w:sz w:val="22"/>
          <w:szCs w:val="22"/>
        </w:rPr>
        <w:t>study</w:t>
      </w:r>
      <w:r w:rsidR="00FC4F45" w:rsidRPr="00E20483">
        <w:rPr>
          <w:rFonts w:ascii="GibsonLight" w:eastAsia="Arial Unicode MS" w:hAnsi="GibsonLight"/>
          <w:spacing w:val="12"/>
          <w:sz w:val="22"/>
          <w:szCs w:val="22"/>
        </w:rPr>
        <w:t xml:space="preserve"> does not describe or mention the methodology used to estimate the utility value.</w:t>
      </w:r>
    </w:p>
    <w:p w14:paraId="3A63947E" w14:textId="6827F2E6" w:rsidR="00AB3AB4" w:rsidRPr="00E20483" w:rsidRDefault="00AB3AB4"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Direct Measures</w:t>
      </w:r>
      <w:r w:rsidR="00FB3A8C" w:rsidRPr="00E20483">
        <w:rPr>
          <w:rFonts w:ascii="GibsonLight" w:eastAsia="Arial Unicode MS" w:hAnsi="GibsonLight"/>
          <w:b/>
          <w:spacing w:val="12"/>
          <w:sz w:val="22"/>
          <w:szCs w:val="22"/>
        </w:rPr>
        <w:t xml:space="preserve">: </w:t>
      </w:r>
      <w:r w:rsidR="004B15D0" w:rsidRPr="00E20483">
        <w:rPr>
          <w:rFonts w:ascii="GibsonLight" w:eastAsia="Arial Unicode MS" w:hAnsi="GibsonLight"/>
          <w:spacing w:val="12"/>
          <w:sz w:val="22"/>
          <w:szCs w:val="22"/>
        </w:rPr>
        <w:t>M</w:t>
      </w:r>
      <w:r w:rsidR="00FB3A8C" w:rsidRPr="00E20483">
        <w:rPr>
          <w:rFonts w:ascii="GibsonLight" w:eastAsia="Arial Unicode MS" w:hAnsi="GibsonLight"/>
          <w:spacing w:val="12"/>
          <w:sz w:val="22"/>
          <w:szCs w:val="22"/>
        </w:rPr>
        <w:t>easures participants’ preferences under conditions of uncertainty</w:t>
      </w:r>
      <w:r w:rsidR="00652378" w:rsidRPr="00E20483">
        <w:rPr>
          <w:rFonts w:ascii="GibsonLight" w:eastAsia="Arial Unicode MS" w:hAnsi="GibsonLight"/>
          <w:spacing w:val="12"/>
          <w:sz w:val="22"/>
          <w:szCs w:val="22"/>
        </w:rPr>
        <w:t>.</w:t>
      </w:r>
    </w:p>
    <w:p w14:paraId="577041DF" w14:textId="449DA0AC" w:rsidR="005C5D96" w:rsidRPr="00E20483" w:rsidRDefault="00AB3AB4" w:rsidP="004B15D0">
      <w:pPr>
        <w:pStyle w:val="ListParagraph"/>
        <w:numPr>
          <w:ilvl w:val="0"/>
          <w:numId w:val="25"/>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Standard Gamble</w:t>
      </w:r>
      <w:r w:rsidR="007174B9" w:rsidRPr="00E20483">
        <w:rPr>
          <w:rFonts w:ascii="GibsonLight" w:eastAsia="Arial Unicode MS" w:hAnsi="GibsonLight"/>
          <w:spacing w:val="12"/>
          <w:sz w:val="22"/>
          <w:szCs w:val="22"/>
        </w:rPr>
        <w:t>:</w:t>
      </w:r>
      <w:r w:rsidR="00FC4F45" w:rsidRPr="00E20483">
        <w:rPr>
          <w:rFonts w:ascii="GibsonLight" w:eastAsia="Arial Unicode MS" w:hAnsi="GibsonLight"/>
          <w:spacing w:val="12"/>
          <w:sz w:val="22"/>
          <w:szCs w:val="22"/>
        </w:rPr>
        <w:t xml:space="preserve"> </w:t>
      </w:r>
      <w:r w:rsidR="004C72D5" w:rsidRPr="00E20483">
        <w:rPr>
          <w:rFonts w:ascii="GibsonLight" w:eastAsia="Arial Unicode MS" w:hAnsi="GibsonLight"/>
          <w:spacing w:val="12"/>
          <w:sz w:val="22"/>
          <w:szCs w:val="22"/>
        </w:rPr>
        <w:t>Reflects</w:t>
      </w:r>
      <w:r w:rsidR="00FC4F45" w:rsidRPr="00E20483">
        <w:rPr>
          <w:rFonts w:ascii="GibsonLight" w:eastAsia="Arial Unicode MS" w:hAnsi="GibsonLight"/>
          <w:spacing w:val="12"/>
          <w:sz w:val="22"/>
          <w:szCs w:val="22"/>
        </w:rPr>
        <w:t xml:space="preserve"> the patient's willingness to accept a certain risk of death in order t</w:t>
      </w:r>
      <w:r w:rsidR="00652378" w:rsidRPr="00E20483">
        <w:rPr>
          <w:rFonts w:ascii="GibsonLight" w:eastAsia="Arial Unicode MS" w:hAnsi="GibsonLight"/>
          <w:spacing w:val="12"/>
          <w:sz w:val="22"/>
          <w:szCs w:val="22"/>
        </w:rPr>
        <w:t>o avoid the given health state.</w:t>
      </w:r>
    </w:p>
    <w:p w14:paraId="70639324" w14:textId="5308FEB8" w:rsidR="00AB3AB4" w:rsidRPr="00E20483" w:rsidRDefault="00AB3AB4" w:rsidP="004B15D0">
      <w:pPr>
        <w:pStyle w:val="ListParagraph"/>
        <w:numPr>
          <w:ilvl w:val="0"/>
          <w:numId w:val="25"/>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Time Trade-Off</w:t>
      </w:r>
      <w:r w:rsidR="007174B9" w:rsidRPr="00E20483">
        <w:rPr>
          <w:rFonts w:ascii="GibsonLight" w:eastAsia="Arial Unicode MS" w:hAnsi="GibsonLight"/>
          <w:spacing w:val="12"/>
          <w:sz w:val="22"/>
          <w:szCs w:val="22"/>
        </w:rPr>
        <w:t>:</w:t>
      </w:r>
      <w:r w:rsidR="00FC4F45" w:rsidRPr="00E20483">
        <w:rPr>
          <w:rFonts w:ascii="GibsonLight" w:eastAsia="Arial Unicode MS" w:hAnsi="GibsonLight"/>
          <w:spacing w:val="12"/>
          <w:sz w:val="22"/>
          <w:szCs w:val="22"/>
        </w:rPr>
        <w:t xml:space="preserve"> </w:t>
      </w:r>
      <w:r w:rsidR="004C72D5" w:rsidRPr="00E20483">
        <w:rPr>
          <w:rFonts w:ascii="GibsonLight" w:eastAsia="Arial Unicode MS" w:hAnsi="GibsonLight"/>
          <w:spacing w:val="12"/>
          <w:sz w:val="22"/>
          <w:szCs w:val="22"/>
        </w:rPr>
        <w:t xml:space="preserve">Reflects the remaining life expectancy that a </w:t>
      </w:r>
      <w:r w:rsidR="002704B6" w:rsidRPr="00E20483">
        <w:rPr>
          <w:rFonts w:ascii="GibsonLight" w:eastAsia="Arial Unicode MS" w:hAnsi="GibsonLight"/>
          <w:spacing w:val="12"/>
          <w:sz w:val="22"/>
          <w:szCs w:val="22"/>
        </w:rPr>
        <w:t>patient</w:t>
      </w:r>
      <w:r w:rsidR="004C72D5" w:rsidRPr="00E20483">
        <w:rPr>
          <w:rFonts w:ascii="GibsonLight" w:eastAsia="Arial Unicode MS" w:hAnsi="GibsonLight"/>
          <w:spacing w:val="12"/>
          <w:sz w:val="22"/>
          <w:szCs w:val="22"/>
        </w:rPr>
        <w:t xml:space="preserve"> may be prepared to give-up in order to avoid remaining in a sub-perfect health state.</w:t>
      </w:r>
    </w:p>
    <w:p w14:paraId="1B3A4F51" w14:textId="0AAF0E3D" w:rsidR="00AB3AB4" w:rsidRPr="00E20483" w:rsidRDefault="00AB3AB4" w:rsidP="004B15D0">
      <w:pPr>
        <w:pStyle w:val="ListParagraph"/>
        <w:numPr>
          <w:ilvl w:val="0"/>
          <w:numId w:val="25"/>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Person Trade-Off</w:t>
      </w:r>
      <w:r w:rsidR="004C72D5" w:rsidRPr="00E20483">
        <w:rPr>
          <w:rFonts w:ascii="GibsonLight" w:eastAsia="Arial Unicode MS" w:hAnsi="GibsonLight"/>
          <w:b/>
          <w:spacing w:val="12"/>
          <w:sz w:val="22"/>
          <w:szCs w:val="22"/>
        </w:rPr>
        <w:t xml:space="preserve">: </w:t>
      </w:r>
      <w:r w:rsidR="002704B6" w:rsidRPr="00E20483">
        <w:rPr>
          <w:rFonts w:ascii="GibsonLight" w:eastAsia="Arial Unicode MS" w:hAnsi="GibsonLight"/>
          <w:spacing w:val="12"/>
          <w:sz w:val="22"/>
          <w:szCs w:val="22"/>
        </w:rPr>
        <w:t>Tradeoff is expressed as a ratio of the number of people who live in perfect health that is equivalent in value to the number of people who would live with a specified condition.</w:t>
      </w:r>
      <w:r w:rsidR="004C72D5" w:rsidRPr="00E20483">
        <w:rPr>
          <w:rFonts w:ascii="GibsonLight" w:eastAsia="Arial Unicode MS" w:hAnsi="GibsonLight"/>
          <w:spacing w:val="12"/>
          <w:sz w:val="22"/>
          <w:szCs w:val="22"/>
        </w:rPr>
        <w:t xml:space="preserve"> </w:t>
      </w:r>
    </w:p>
    <w:p w14:paraId="01F74A61" w14:textId="52D519D4" w:rsidR="00AB3AB4" w:rsidRPr="00E20483" w:rsidRDefault="00AB3AB4" w:rsidP="004B15D0">
      <w:pPr>
        <w:pStyle w:val="ListParagraph"/>
        <w:numPr>
          <w:ilvl w:val="0"/>
          <w:numId w:val="25"/>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lastRenderedPageBreak/>
        <w:t>Visual Analog Scale (of EQ-5D VAS)</w:t>
      </w:r>
      <w:r w:rsidR="004C72D5" w:rsidRPr="00E20483">
        <w:rPr>
          <w:rFonts w:ascii="GibsonLight" w:eastAsia="Arial Unicode MS" w:hAnsi="GibsonLight"/>
          <w:spacing w:val="12"/>
          <w:sz w:val="22"/>
          <w:szCs w:val="22"/>
        </w:rPr>
        <w:t>: Reflects the patient's perception of the intensity or frequency of the health state, measured on a continuing scale.</w:t>
      </w:r>
    </w:p>
    <w:p w14:paraId="6BEB4071" w14:textId="52A4989B" w:rsidR="00AB3AB4" w:rsidRPr="00E20483" w:rsidRDefault="00AB3AB4" w:rsidP="004B15D0">
      <w:pPr>
        <w:pStyle w:val="ListParagraph"/>
        <w:numPr>
          <w:ilvl w:val="0"/>
          <w:numId w:val="25"/>
        </w:numPr>
        <w:spacing w:after="120"/>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Other</w:t>
      </w:r>
      <w:r w:rsidR="00A50B25" w:rsidRPr="00E20483">
        <w:rPr>
          <w:rFonts w:ascii="GibsonLight" w:eastAsia="Arial Unicode MS" w:hAnsi="GibsonLight"/>
          <w:b/>
          <w:spacing w:val="12"/>
          <w:sz w:val="22"/>
          <w:szCs w:val="22"/>
        </w:rPr>
        <w:t xml:space="preserve">: </w:t>
      </w:r>
      <w:r w:rsidR="00652378" w:rsidRPr="00E20483">
        <w:rPr>
          <w:rFonts w:ascii="GibsonLight" w:eastAsia="Arial Unicode MS" w:hAnsi="GibsonLight"/>
          <w:spacing w:val="12"/>
          <w:sz w:val="22"/>
          <w:szCs w:val="22"/>
        </w:rPr>
        <w:t>Other direct elicitation methods that are not described above</w:t>
      </w:r>
      <w:r w:rsidR="002704B6" w:rsidRPr="00E20483">
        <w:rPr>
          <w:rFonts w:ascii="GibsonLight" w:eastAsia="Arial Unicode MS" w:hAnsi="GibsonLight"/>
          <w:spacing w:val="12"/>
          <w:sz w:val="22"/>
          <w:szCs w:val="22"/>
        </w:rPr>
        <w:t xml:space="preserve"> (e.g. magnitude estimation, expert opinion)</w:t>
      </w:r>
      <w:r w:rsidR="00652378" w:rsidRPr="00E20483">
        <w:rPr>
          <w:rFonts w:ascii="GibsonLight" w:eastAsia="Arial Unicode MS" w:hAnsi="GibsonLight"/>
          <w:spacing w:val="12"/>
          <w:sz w:val="22"/>
          <w:szCs w:val="22"/>
        </w:rPr>
        <w:t>.</w:t>
      </w:r>
    </w:p>
    <w:p w14:paraId="72484E12" w14:textId="715E4C38" w:rsidR="00AB3AB4" w:rsidRPr="00E20483" w:rsidRDefault="00AB3AB4" w:rsidP="004B15D0">
      <w:pPr>
        <w:spacing w:after="120"/>
        <w:ind w:left="720"/>
        <w:rPr>
          <w:rFonts w:ascii="GibsonLight" w:eastAsia="Arial Unicode MS" w:hAnsi="GibsonLight"/>
          <w:b/>
          <w:spacing w:val="12"/>
          <w:sz w:val="22"/>
          <w:szCs w:val="22"/>
        </w:rPr>
      </w:pPr>
      <w:r w:rsidRPr="00E20483">
        <w:rPr>
          <w:rFonts w:ascii="GibsonLight" w:eastAsia="Arial Unicode MS" w:hAnsi="GibsonLight"/>
          <w:b/>
          <w:spacing w:val="12"/>
          <w:sz w:val="22"/>
          <w:szCs w:val="22"/>
        </w:rPr>
        <w:t>Indirect/Generic Measures</w:t>
      </w:r>
      <w:r w:rsidR="00FB3A8C" w:rsidRPr="00E20483">
        <w:rPr>
          <w:rFonts w:ascii="GibsonLight" w:eastAsia="Arial Unicode MS" w:hAnsi="GibsonLight"/>
          <w:spacing w:val="12"/>
          <w:sz w:val="22"/>
          <w:szCs w:val="22"/>
        </w:rPr>
        <w:t xml:space="preserve">: </w:t>
      </w:r>
      <w:r w:rsidR="009278C6" w:rsidRPr="00E20483">
        <w:rPr>
          <w:rFonts w:ascii="GibsonLight" w:eastAsia="Arial Unicode MS" w:hAnsi="GibsonLight"/>
          <w:spacing w:val="12"/>
          <w:sz w:val="22"/>
          <w:szCs w:val="22"/>
        </w:rPr>
        <w:t>T</w:t>
      </w:r>
      <w:r w:rsidR="00BF7CC8" w:rsidRPr="00E20483">
        <w:rPr>
          <w:rFonts w:ascii="GibsonLight" w:eastAsia="Arial Unicode MS" w:hAnsi="GibsonLight"/>
          <w:spacing w:val="12"/>
          <w:sz w:val="22"/>
          <w:szCs w:val="22"/>
        </w:rPr>
        <w:t>ypically obtained indirectly by asking patients to fill in a quality of life questionnaire and then converting the results to a utility using population values.</w:t>
      </w:r>
      <w:r w:rsidR="00BF7CC8" w:rsidRPr="00E20483">
        <w:rPr>
          <w:rFonts w:ascii="GibsonLight" w:eastAsia="Arial Unicode MS" w:hAnsi="GibsonLight"/>
          <w:b/>
          <w:spacing w:val="12"/>
          <w:sz w:val="22"/>
          <w:szCs w:val="22"/>
        </w:rPr>
        <w:t xml:space="preserve"> </w:t>
      </w:r>
      <w:r w:rsidR="00FB3A8C" w:rsidRPr="00E20483">
        <w:rPr>
          <w:rFonts w:ascii="GibsonLight" w:eastAsia="Arial Unicode MS" w:hAnsi="GibsonLight"/>
          <w:spacing w:val="12"/>
          <w:sz w:val="22"/>
          <w:szCs w:val="22"/>
        </w:rPr>
        <w:t>Performed by applying a utility algorithm to a generic preference-based measure such as EQ-5D or HUI.</w:t>
      </w:r>
    </w:p>
    <w:p w14:paraId="3F6D959D" w14:textId="4B4DEA2B" w:rsidR="00AB3AB4" w:rsidRPr="00E20483" w:rsidRDefault="006D40A0" w:rsidP="004B15D0">
      <w:pPr>
        <w:pStyle w:val="ListParagraph"/>
        <w:numPr>
          <w:ilvl w:val="0"/>
          <w:numId w:val="26"/>
        </w:numPr>
        <w:ind w:left="1710"/>
        <w:rPr>
          <w:rFonts w:ascii="GibsonLight" w:eastAsia="Arial Unicode MS" w:hAnsi="GibsonLight"/>
          <w:b/>
          <w:spacing w:val="12"/>
          <w:sz w:val="22"/>
          <w:szCs w:val="22"/>
        </w:rPr>
      </w:pPr>
      <w:r w:rsidRPr="00E20483">
        <w:rPr>
          <w:rFonts w:ascii="GibsonLight" w:eastAsia="Arial Unicode MS" w:hAnsi="GibsonLight"/>
          <w:b/>
          <w:spacing w:val="12"/>
          <w:sz w:val="22"/>
          <w:szCs w:val="22"/>
        </w:rPr>
        <w:t>EQ-5D-5L/3L/Y</w:t>
      </w:r>
      <w:r w:rsidR="00DA0022" w:rsidRPr="00E20483">
        <w:rPr>
          <w:rFonts w:ascii="GibsonLight" w:eastAsia="Arial Unicode MS" w:hAnsi="GibsonLight"/>
          <w:spacing w:val="12"/>
          <w:sz w:val="22"/>
          <w:szCs w:val="22"/>
        </w:rPr>
        <w:t xml:space="preserve">: Developed by the </w:t>
      </w:r>
      <w:r w:rsidR="00544F98" w:rsidRPr="00E20483">
        <w:rPr>
          <w:rFonts w:ascii="GibsonLight" w:eastAsia="Arial Unicode MS" w:hAnsi="GibsonLight"/>
          <w:spacing w:val="12"/>
          <w:sz w:val="22"/>
          <w:szCs w:val="22"/>
        </w:rPr>
        <w:t>EuroQoL</w:t>
      </w:r>
      <w:r w:rsidR="00DA0022" w:rsidRPr="00E20483">
        <w:rPr>
          <w:rFonts w:ascii="GibsonLight" w:eastAsia="Arial Unicode MS" w:hAnsi="GibsonLight"/>
          <w:spacing w:val="12"/>
          <w:sz w:val="22"/>
          <w:szCs w:val="22"/>
        </w:rPr>
        <w:t xml:space="preserve"> Group, the EQ-5D is a generic questionnaire commonly used in clinical trials and economic evaluations. </w:t>
      </w:r>
      <w:r w:rsidRPr="00E20483">
        <w:rPr>
          <w:rFonts w:ascii="GibsonLight" w:eastAsia="Arial Unicode MS" w:hAnsi="GibsonLight"/>
          <w:spacing w:val="12"/>
          <w:sz w:val="22"/>
          <w:szCs w:val="22"/>
        </w:rPr>
        <w:t>It assesses</w:t>
      </w:r>
      <w:r w:rsidR="00DA0022" w:rsidRPr="00E20483">
        <w:rPr>
          <w:rFonts w:ascii="GibsonLight" w:eastAsia="Arial Unicode MS" w:hAnsi="GibsonLight"/>
          <w:spacing w:val="12"/>
          <w:sz w:val="22"/>
          <w:szCs w:val="22"/>
        </w:rPr>
        <w:t xml:space="preserve"> health status in terms of five dimensions</w:t>
      </w:r>
      <w:r w:rsidRPr="00E20483">
        <w:rPr>
          <w:rFonts w:ascii="GibsonLight" w:eastAsia="Arial Unicode MS" w:hAnsi="GibsonLight"/>
          <w:spacing w:val="12"/>
          <w:sz w:val="22"/>
          <w:szCs w:val="22"/>
        </w:rPr>
        <w:t>–</w:t>
      </w:r>
      <w:r w:rsidR="00DA0022" w:rsidRPr="00E20483">
        <w:rPr>
          <w:rFonts w:ascii="GibsonLight" w:eastAsia="Arial Unicode MS" w:hAnsi="GibsonLight"/>
          <w:spacing w:val="12"/>
          <w:sz w:val="22"/>
          <w:szCs w:val="22"/>
        </w:rPr>
        <w:t xml:space="preserve"> mobility, self-care, usual activities, pain/discomfort</w:t>
      </w:r>
      <w:r w:rsidRPr="00E20483">
        <w:rPr>
          <w:rFonts w:ascii="GibsonLight" w:eastAsia="Arial Unicode MS" w:hAnsi="GibsonLight"/>
          <w:spacing w:val="12"/>
          <w:sz w:val="22"/>
          <w:szCs w:val="22"/>
        </w:rPr>
        <w:t>,</w:t>
      </w:r>
      <w:r w:rsidR="00DA0022" w:rsidRPr="00E20483">
        <w:rPr>
          <w:rFonts w:ascii="GibsonLight" w:eastAsia="Arial Unicode MS" w:hAnsi="GibsonLight"/>
          <w:spacing w:val="12"/>
          <w:sz w:val="22"/>
          <w:szCs w:val="22"/>
        </w:rPr>
        <w:t xml:space="preserve"> and anxiety/depression</w:t>
      </w:r>
      <w:r w:rsidRPr="00E20483">
        <w:rPr>
          <w:rFonts w:ascii="GibsonLight" w:eastAsia="Arial Unicode MS" w:hAnsi="GibsonLight"/>
          <w:spacing w:val="12"/>
          <w:sz w:val="22"/>
          <w:szCs w:val="22"/>
        </w:rPr>
        <w:t>.</w:t>
      </w:r>
    </w:p>
    <w:p w14:paraId="6A116D91" w14:textId="717DBDAC" w:rsidR="00AB3AB4" w:rsidRPr="00E20483" w:rsidRDefault="00AB3AB4" w:rsidP="004B15D0">
      <w:pPr>
        <w:pStyle w:val="ListParagraph"/>
        <w:numPr>
          <w:ilvl w:val="0"/>
          <w:numId w:val="26"/>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SF-6D/12D/36D</w:t>
      </w:r>
      <w:r w:rsidR="006D40A0" w:rsidRPr="00E20483">
        <w:rPr>
          <w:rFonts w:ascii="GibsonLight" w:eastAsia="Arial Unicode MS" w:hAnsi="GibsonLight"/>
          <w:spacing w:val="12"/>
          <w:sz w:val="22"/>
          <w:szCs w:val="22"/>
        </w:rPr>
        <w:t>: A preference based measure similar to the EQ-5D questionnaire, but includes 8 total dimensions of health–</w:t>
      </w:r>
      <w:r w:rsidR="006D40A0" w:rsidRPr="00E20483">
        <w:rPr>
          <w:rFonts w:ascii="GibsonLight" w:hAnsi="GibsonLight"/>
          <w:spacing w:val="12"/>
          <w:sz w:val="22"/>
          <w:szCs w:val="22"/>
        </w:rPr>
        <w:t xml:space="preserve"> </w:t>
      </w:r>
      <w:r w:rsidR="006D40A0" w:rsidRPr="00E20483">
        <w:rPr>
          <w:rFonts w:ascii="GibsonLight" w:eastAsia="Arial Unicode MS" w:hAnsi="GibsonLight"/>
          <w:spacing w:val="12"/>
          <w:sz w:val="22"/>
          <w:szCs w:val="22"/>
        </w:rPr>
        <w:t>physical functioning, role-physical, bodily pain, general health, vitality, social functioning, role-emotional and mental health.</w:t>
      </w:r>
    </w:p>
    <w:p w14:paraId="140BCD62" w14:textId="667CC261" w:rsidR="00AB3AB4" w:rsidRPr="00E20483" w:rsidRDefault="00AB3AB4" w:rsidP="004B15D0">
      <w:pPr>
        <w:pStyle w:val="ListParagraph"/>
        <w:numPr>
          <w:ilvl w:val="0"/>
          <w:numId w:val="26"/>
        </w:numPr>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Quality of Well-Being</w:t>
      </w:r>
      <w:r w:rsidR="00FB3A8C" w:rsidRPr="00E20483">
        <w:rPr>
          <w:rFonts w:ascii="GibsonLight" w:eastAsia="Arial Unicode MS" w:hAnsi="GibsonLight"/>
          <w:b/>
          <w:spacing w:val="12"/>
          <w:sz w:val="22"/>
          <w:szCs w:val="22"/>
        </w:rPr>
        <w:t xml:space="preserve"> (QWB)</w:t>
      </w:r>
      <w:r w:rsidR="002704B6" w:rsidRPr="00E20483">
        <w:rPr>
          <w:rFonts w:ascii="GibsonLight" w:eastAsia="Arial Unicode MS" w:hAnsi="GibsonLight"/>
          <w:spacing w:val="12"/>
          <w:sz w:val="22"/>
          <w:szCs w:val="22"/>
        </w:rPr>
        <w:t xml:space="preserve">: </w:t>
      </w:r>
      <w:r w:rsidR="006D40A0" w:rsidRPr="00E20483">
        <w:rPr>
          <w:rFonts w:ascii="GibsonLight" w:eastAsia="Arial Unicode MS" w:hAnsi="GibsonLight"/>
          <w:spacing w:val="12"/>
          <w:sz w:val="22"/>
          <w:szCs w:val="22"/>
        </w:rPr>
        <w:t>Another generic preference based questionnaire of health status that measures the patient's overall well-being over the previous 3 days using 4 domains: mobility, physical activities, social activities, and symptom/problem complexes.</w:t>
      </w:r>
    </w:p>
    <w:p w14:paraId="1CAF3814" w14:textId="77777777" w:rsidR="004B15D0" w:rsidRPr="00E20483" w:rsidRDefault="00AB3AB4" w:rsidP="004B15D0">
      <w:pPr>
        <w:pStyle w:val="ListParagraph"/>
        <w:numPr>
          <w:ilvl w:val="0"/>
          <w:numId w:val="26"/>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Health Utility Index</w:t>
      </w:r>
      <w:r w:rsidR="00FB3A8C" w:rsidRPr="00E20483">
        <w:rPr>
          <w:rFonts w:ascii="GibsonLight" w:eastAsia="Arial Unicode MS" w:hAnsi="GibsonLight"/>
          <w:b/>
          <w:spacing w:val="12"/>
          <w:sz w:val="22"/>
          <w:szCs w:val="22"/>
        </w:rPr>
        <w:t xml:space="preserve"> (HUI)</w:t>
      </w:r>
      <w:r w:rsidR="006D40A0" w:rsidRPr="00E20483">
        <w:rPr>
          <w:rFonts w:ascii="GibsonLight" w:eastAsia="Arial Unicode MS" w:hAnsi="GibsonLight"/>
          <w:spacing w:val="12"/>
          <w:sz w:val="22"/>
          <w:szCs w:val="22"/>
        </w:rPr>
        <w:t>: A rating scale questionnaire mapped onto 2 classification systems, HUI-2 and HUI-3.</w:t>
      </w:r>
    </w:p>
    <w:p w14:paraId="074187AC" w14:textId="24921077" w:rsidR="00A50B25" w:rsidRPr="00E20483" w:rsidRDefault="00A50B25" w:rsidP="004B15D0">
      <w:pPr>
        <w:pStyle w:val="ListParagraph"/>
        <w:numPr>
          <w:ilvl w:val="0"/>
          <w:numId w:val="26"/>
        </w:numPr>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 xml:space="preserve">Other: </w:t>
      </w:r>
      <w:r w:rsidR="00652378" w:rsidRPr="00E20483">
        <w:rPr>
          <w:rFonts w:ascii="GibsonLight" w:eastAsia="Arial Unicode MS" w:hAnsi="GibsonLight"/>
          <w:spacing w:val="12"/>
          <w:sz w:val="22"/>
          <w:szCs w:val="22"/>
        </w:rPr>
        <w:t>Other direct elicitation methods that are not described above.</w:t>
      </w:r>
    </w:p>
    <w:p w14:paraId="25FF4058" w14:textId="77777777" w:rsidR="000C0AA9" w:rsidRPr="00E20483" w:rsidRDefault="000C0AA9" w:rsidP="004B15D0">
      <w:pPr>
        <w:spacing w:after="120"/>
        <w:ind w:left="1440"/>
        <w:rPr>
          <w:rFonts w:ascii="GibsonLight" w:eastAsia="Arial Unicode MS" w:hAnsi="GibsonLight"/>
          <w:b/>
          <w:spacing w:val="12"/>
          <w:sz w:val="22"/>
          <w:szCs w:val="22"/>
        </w:rPr>
      </w:pPr>
    </w:p>
    <w:p w14:paraId="35276048" w14:textId="20A41427" w:rsidR="009F13E7" w:rsidRPr="009278C6" w:rsidRDefault="009F13E7" w:rsidP="004B15D0">
      <w:pPr>
        <w:pStyle w:val="Heading3"/>
        <w:numPr>
          <w:ilvl w:val="0"/>
          <w:numId w:val="0"/>
        </w:numPr>
        <w:spacing w:after="120"/>
        <w:rPr>
          <w:rFonts w:ascii="GibsonLight" w:eastAsia="Arial Unicode MS" w:hAnsi="GibsonLight"/>
          <w:spacing w:val="12"/>
          <w:sz w:val="32"/>
          <w:szCs w:val="24"/>
        </w:rPr>
      </w:pPr>
      <w:bookmarkStart w:id="29" w:name="_Toc100072046"/>
      <w:r w:rsidRPr="009278C6">
        <w:rPr>
          <w:rFonts w:ascii="GibsonLight" w:eastAsia="Arial Unicode MS" w:hAnsi="GibsonLight"/>
          <w:spacing w:val="12"/>
          <w:sz w:val="32"/>
          <w:szCs w:val="24"/>
        </w:rPr>
        <w:t>Data Source</w:t>
      </w:r>
      <w:r w:rsidR="00AB3AB4" w:rsidRPr="009278C6">
        <w:rPr>
          <w:rFonts w:ascii="GibsonLight" w:eastAsia="Arial Unicode MS" w:hAnsi="GibsonLight"/>
          <w:spacing w:val="12"/>
          <w:sz w:val="32"/>
          <w:szCs w:val="24"/>
        </w:rPr>
        <w:t>(s)</w:t>
      </w:r>
      <w:bookmarkEnd w:id="29"/>
    </w:p>
    <w:p w14:paraId="2CFFAC5E" w14:textId="77777777" w:rsidR="00AB3AB4" w:rsidRPr="00E20483" w:rsidRDefault="00AB3AB4" w:rsidP="004B15D0">
      <w:pPr>
        <w:pStyle w:val="ListParagraph"/>
        <w:numPr>
          <w:ilvl w:val="0"/>
          <w:numId w:val="8"/>
        </w:numPr>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Source Type</w:t>
      </w:r>
    </w:p>
    <w:p w14:paraId="62F95CFB" w14:textId="0B7497F9" w:rsidR="009F13E7" w:rsidRPr="00E20483" w:rsidRDefault="009F13E7" w:rsidP="004B15D0">
      <w:pPr>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 xml:space="preserve">Primary </w:t>
      </w:r>
      <w:r w:rsidR="00AB3AB4" w:rsidRPr="00E20483">
        <w:rPr>
          <w:rFonts w:ascii="GibsonLight" w:eastAsia="Arial Unicode MS" w:hAnsi="GibsonLight"/>
          <w:b/>
          <w:spacing w:val="12"/>
          <w:sz w:val="22"/>
          <w:szCs w:val="22"/>
        </w:rPr>
        <w:t>D</w:t>
      </w:r>
      <w:r w:rsidRPr="00E20483">
        <w:rPr>
          <w:rFonts w:ascii="GibsonLight" w:eastAsia="Arial Unicode MS" w:hAnsi="GibsonLight"/>
          <w:b/>
          <w:spacing w:val="12"/>
          <w:sz w:val="22"/>
          <w:szCs w:val="22"/>
        </w:rPr>
        <w:t>ata</w:t>
      </w:r>
      <w:r w:rsidR="007174B9" w:rsidRPr="00E20483">
        <w:rPr>
          <w:rFonts w:ascii="GibsonLight" w:eastAsia="Arial Unicode MS" w:hAnsi="GibsonLight"/>
          <w:spacing w:val="12"/>
          <w:sz w:val="22"/>
          <w:szCs w:val="22"/>
        </w:rPr>
        <w:t>:</w:t>
      </w:r>
      <w:r w:rsidR="0071229E">
        <w:rPr>
          <w:rFonts w:ascii="GibsonLight" w:eastAsia="Arial Unicode MS" w:hAnsi="GibsonLight"/>
          <w:spacing w:val="12"/>
          <w:sz w:val="22"/>
          <w:szCs w:val="22"/>
        </w:rPr>
        <w:t xml:space="preserve"> Data are</w:t>
      </w:r>
      <w:r w:rsidRPr="00E20483">
        <w:rPr>
          <w:rFonts w:ascii="GibsonLight" w:eastAsia="Arial Unicode MS" w:hAnsi="GibsonLight"/>
          <w:spacing w:val="12"/>
          <w:sz w:val="22"/>
          <w:szCs w:val="22"/>
        </w:rPr>
        <w:t xml:space="preserve"> derived from author’s collection of utility weights generated specifically for this study</w:t>
      </w:r>
    </w:p>
    <w:p w14:paraId="6D12AB3A" w14:textId="0D602696" w:rsidR="009F13E7" w:rsidRPr="00E20483" w:rsidRDefault="009F13E7" w:rsidP="004B15D0">
      <w:pPr>
        <w:tabs>
          <w:tab w:val="left" w:pos="360"/>
        </w:tabs>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Secondary</w:t>
      </w:r>
      <w:r w:rsidR="00AB3AB4" w:rsidRPr="00E20483">
        <w:rPr>
          <w:rFonts w:ascii="GibsonLight" w:eastAsia="Arial Unicode MS" w:hAnsi="GibsonLight"/>
          <w:b/>
          <w:spacing w:val="12"/>
          <w:sz w:val="22"/>
          <w:szCs w:val="22"/>
        </w:rPr>
        <w:t>/Published Source(s)</w:t>
      </w:r>
      <w:r w:rsidR="007174B9" w:rsidRPr="00E20483">
        <w:rPr>
          <w:rFonts w:ascii="GibsonLight" w:eastAsia="Arial Unicode MS" w:hAnsi="GibsonLight"/>
          <w:spacing w:val="12"/>
          <w:sz w:val="22"/>
          <w:szCs w:val="22"/>
        </w:rPr>
        <w:t>:</w:t>
      </w:r>
      <w:r w:rsidR="0071229E">
        <w:rPr>
          <w:rFonts w:ascii="GibsonLight" w:eastAsia="Arial Unicode MS" w:hAnsi="GibsonLight"/>
          <w:spacing w:val="12"/>
          <w:sz w:val="22"/>
          <w:szCs w:val="22"/>
        </w:rPr>
        <w:t xml:space="preserve"> Data are</w:t>
      </w:r>
      <w:r w:rsidRPr="00E20483">
        <w:rPr>
          <w:rFonts w:ascii="GibsonLight" w:eastAsia="Arial Unicode MS" w:hAnsi="GibsonLight"/>
          <w:spacing w:val="12"/>
          <w:sz w:val="22"/>
          <w:szCs w:val="22"/>
        </w:rPr>
        <w:t xml:space="preserve"> derived from another source other than this study</w:t>
      </w:r>
    </w:p>
    <w:p w14:paraId="6C5D8945" w14:textId="43C6982D" w:rsidR="004F2728" w:rsidRPr="00E20483" w:rsidRDefault="004F2728" w:rsidP="004B15D0">
      <w:pPr>
        <w:pStyle w:val="ListParagraph"/>
        <w:numPr>
          <w:ilvl w:val="0"/>
          <w:numId w:val="33"/>
        </w:numPr>
        <w:tabs>
          <w:tab w:val="left" w:pos="360"/>
        </w:tabs>
        <w:ind w:left="1800"/>
        <w:rPr>
          <w:rFonts w:ascii="GibsonLight" w:eastAsia="Arial Unicode MS" w:hAnsi="GibsonLight"/>
          <w:b/>
          <w:spacing w:val="12"/>
          <w:sz w:val="22"/>
          <w:szCs w:val="22"/>
        </w:rPr>
      </w:pPr>
      <w:r w:rsidRPr="00E20483">
        <w:rPr>
          <w:rFonts w:ascii="GibsonLight" w:eastAsia="Arial Unicode MS" w:hAnsi="GibsonLight"/>
          <w:b/>
          <w:spacing w:val="12"/>
          <w:sz w:val="22"/>
          <w:szCs w:val="22"/>
        </w:rPr>
        <w:t>PubMed ID</w:t>
      </w:r>
    </w:p>
    <w:p w14:paraId="5B681A52" w14:textId="002B51A5" w:rsidR="004F2728" w:rsidRPr="00E20483" w:rsidRDefault="004F2728" w:rsidP="004B15D0">
      <w:pPr>
        <w:pStyle w:val="ListParagraph"/>
        <w:numPr>
          <w:ilvl w:val="0"/>
          <w:numId w:val="33"/>
        </w:numPr>
        <w:tabs>
          <w:tab w:val="left" w:pos="360"/>
        </w:tabs>
        <w:spacing w:after="120"/>
        <w:ind w:left="1800"/>
        <w:rPr>
          <w:rFonts w:ascii="GibsonLight" w:eastAsia="Arial Unicode MS" w:hAnsi="GibsonLight"/>
          <w:spacing w:val="12"/>
          <w:sz w:val="22"/>
          <w:szCs w:val="22"/>
        </w:rPr>
      </w:pPr>
      <w:r w:rsidRPr="00E20483">
        <w:rPr>
          <w:rFonts w:ascii="GibsonLight" w:eastAsia="Arial Unicode MS" w:hAnsi="GibsonLight"/>
          <w:b/>
          <w:spacing w:val="12"/>
          <w:sz w:val="22"/>
          <w:szCs w:val="22"/>
        </w:rPr>
        <w:t>GBD Study Year</w:t>
      </w:r>
    </w:p>
    <w:p w14:paraId="2B092079" w14:textId="659F467A" w:rsidR="009F13E7" w:rsidRPr="00E20483" w:rsidRDefault="009F13E7" w:rsidP="004B15D0">
      <w:pPr>
        <w:tabs>
          <w:tab w:val="left" w:pos="360"/>
        </w:tabs>
        <w:spacing w:after="120"/>
        <w:ind w:left="720"/>
        <w:rPr>
          <w:rFonts w:ascii="GibsonLight" w:eastAsia="Arial Unicode MS" w:hAnsi="GibsonLight"/>
          <w:spacing w:val="12"/>
          <w:sz w:val="22"/>
          <w:szCs w:val="22"/>
        </w:rPr>
      </w:pPr>
      <w:r w:rsidRPr="00E20483">
        <w:rPr>
          <w:rFonts w:ascii="GibsonLight" w:eastAsia="Arial Unicode MS" w:hAnsi="GibsonLight"/>
          <w:b/>
          <w:spacing w:val="12"/>
          <w:sz w:val="22"/>
          <w:szCs w:val="22"/>
        </w:rPr>
        <w:t>Not Stated/Could not be determined</w:t>
      </w:r>
      <w:r w:rsidR="007174B9" w:rsidRPr="00E20483">
        <w:rPr>
          <w:rFonts w:ascii="GibsonLight" w:eastAsia="Arial Unicode MS" w:hAnsi="GibsonLight"/>
          <w:spacing w:val="12"/>
          <w:sz w:val="22"/>
          <w:szCs w:val="22"/>
        </w:rPr>
        <w:t>:</w:t>
      </w:r>
      <w:r w:rsidRPr="00E20483">
        <w:rPr>
          <w:rFonts w:ascii="GibsonLight" w:eastAsia="Arial Unicode MS" w:hAnsi="GibsonLight"/>
          <w:spacing w:val="12"/>
          <w:sz w:val="22"/>
          <w:szCs w:val="22"/>
        </w:rPr>
        <w:t xml:space="preserve"> The study does not provide sufficient information to determine the data source of the utility weights reported.</w:t>
      </w:r>
    </w:p>
    <w:p w14:paraId="188FA640" w14:textId="73CF73DD" w:rsidR="00410AC4" w:rsidRPr="00E20483" w:rsidRDefault="00AB3AB4" w:rsidP="004B15D0">
      <w:pPr>
        <w:pStyle w:val="ListParagraph"/>
        <w:numPr>
          <w:ilvl w:val="0"/>
          <w:numId w:val="8"/>
        </w:numPr>
        <w:spacing w:after="120"/>
        <w:ind w:left="360"/>
        <w:rPr>
          <w:rFonts w:ascii="GibsonLight" w:eastAsia="Arial Unicode MS" w:hAnsi="GibsonLight"/>
          <w:b/>
          <w:spacing w:val="12"/>
          <w:sz w:val="22"/>
          <w:szCs w:val="22"/>
        </w:rPr>
      </w:pPr>
      <w:r w:rsidRPr="00E20483">
        <w:rPr>
          <w:rFonts w:ascii="GibsonLight" w:eastAsia="Arial Unicode MS" w:hAnsi="GibsonLight"/>
          <w:b/>
          <w:spacing w:val="12"/>
          <w:sz w:val="22"/>
          <w:szCs w:val="22"/>
        </w:rPr>
        <w:t>Comments</w:t>
      </w:r>
      <w:r w:rsidR="007174B9" w:rsidRPr="00E20483">
        <w:rPr>
          <w:rFonts w:ascii="GibsonLight" w:eastAsia="Arial Unicode MS" w:hAnsi="GibsonLight"/>
          <w:spacing w:val="12"/>
          <w:sz w:val="22"/>
          <w:szCs w:val="22"/>
        </w:rPr>
        <w:t>:</w:t>
      </w:r>
      <w:r w:rsidR="009F13E7" w:rsidRPr="00E20483">
        <w:rPr>
          <w:rFonts w:ascii="GibsonLight" w:eastAsia="Arial Unicode MS" w:hAnsi="GibsonLight"/>
          <w:b/>
          <w:spacing w:val="12"/>
          <w:sz w:val="22"/>
          <w:szCs w:val="22"/>
        </w:rPr>
        <w:t xml:space="preserve"> </w:t>
      </w:r>
      <w:r w:rsidR="00AD7EF5" w:rsidRPr="00E20483">
        <w:rPr>
          <w:rFonts w:ascii="GibsonLight" w:eastAsia="Arial Unicode MS" w:hAnsi="GibsonLight"/>
          <w:spacing w:val="12"/>
          <w:sz w:val="22"/>
          <w:szCs w:val="22"/>
        </w:rPr>
        <w:t>Any general, notable comments regarding the utility weight, or information that was not captured elsewhere.</w:t>
      </w:r>
    </w:p>
    <w:p w14:paraId="59E994C1" w14:textId="77777777" w:rsidR="00410AC4" w:rsidRPr="004F0578" w:rsidRDefault="00410AC4" w:rsidP="004B15D0">
      <w:pPr>
        <w:spacing w:after="120"/>
        <w:rPr>
          <w:rFonts w:ascii="GibsonLight" w:eastAsia="Arial Unicode MS" w:hAnsi="GibsonLight"/>
          <w:spacing w:val="12"/>
        </w:rPr>
      </w:pPr>
    </w:p>
    <w:p w14:paraId="018FEC7E" w14:textId="4C7093D2" w:rsidR="00410AC4" w:rsidRPr="004F0578" w:rsidRDefault="00410AC4" w:rsidP="004B15D0">
      <w:pPr>
        <w:autoSpaceDE/>
        <w:autoSpaceDN/>
        <w:spacing w:after="120"/>
        <w:rPr>
          <w:rFonts w:ascii="GibsonLight" w:eastAsia="Arial Unicode MS" w:hAnsi="GibsonLight"/>
          <w:spacing w:val="12"/>
        </w:rPr>
      </w:pPr>
    </w:p>
    <w:sectPr w:rsidR="00410AC4" w:rsidRPr="004F0578" w:rsidSect="009278C6">
      <w:headerReference w:type="default" r:id="rId21"/>
      <w:footerReference w:type="default" r:id="rId22"/>
      <w:headerReference w:type="first" r:id="rId23"/>
      <w:footerReference w:type="first" r:id="rId24"/>
      <w:pgSz w:w="12240" w:h="15840"/>
      <w:pgMar w:top="1080" w:right="1080" w:bottom="1080" w:left="1080"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F42C" w16cex:dateUtc="2021-08-26T16:06:00Z"/>
  <w16cex:commentExtensible w16cex:durableId="24D1F49F" w16cex:dateUtc="2021-08-26T16:08:00Z"/>
  <w16cex:commentExtensible w16cex:durableId="24D1F4DB" w16cex:dateUtc="2021-08-26T16:09:00Z"/>
  <w16cex:commentExtensible w16cex:durableId="24D1F5CA" w16cex:dateUtc="2021-08-26T16:13:00Z"/>
  <w16cex:commentExtensible w16cex:durableId="24D1F643" w16cex:dateUtc="2021-08-26T16:15:00Z"/>
  <w16cex:commentExtensible w16cex:durableId="24D1F802" w16cex:dateUtc="2021-08-26T16:22:00Z"/>
  <w16cex:commentExtensible w16cex:durableId="24D1F6E1" w16cex:dateUtc="2021-08-26T16:17:00Z"/>
  <w16cex:commentExtensible w16cex:durableId="24D1F74D" w16cex:dateUtc="2021-08-26T16:19:00Z"/>
  <w16cex:commentExtensible w16cex:durableId="24D1F997" w16cex:dateUtc="2021-08-26T16:29:00Z"/>
  <w16cex:commentExtensible w16cex:durableId="24D1FA07" w16cex:dateUtc="2021-08-26T16:31:00Z"/>
  <w16cex:commentExtensible w16cex:durableId="24D1FA49" w16cex:dateUtc="2021-08-26T16:32:00Z"/>
  <w16cex:commentExtensible w16cex:durableId="24D1FAD6" w16cex:dateUtc="2021-08-26T16:34:00Z"/>
  <w16cex:commentExtensible w16cex:durableId="24D1FC7B" w16cex:dateUtc="2021-08-26T16:41:00Z"/>
  <w16cex:commentExtensible w16cex:durableId="24D1FC97" w16cex:dateUtc="2021-08-26T16:42:00Z"/>
  <w16cex:commentExtensible w16cex:durableId="24D1FD44" w16cex:dateUtc="2021-08-26T16:45:00Z"/>
  <w16cex:commentExtensible w16cex:durableId="24D1FE10" w16cex:dateUtc="2021-08-26T16:48:00Z"/>
  <w16cex:commentExtensible w16cex:durableId="24D1FE6D" w16cex:dateUtc="2021-08-26T16:50:00Z"/>
  <w16cex:commentExtensible w16cex:durableId="24D1FF55" w16cex:dateUtc="2021-08-26T16:53:00Z"/>
  <w16cex:commentExtensible w16cex:durableId="24D1FF85" w16cex:dateUtc="2021-08-26T16:54:00Z"/>
  <w16cex:commentExtensible w16cex:durableId="24D1FFDA" w16cex:dateUtc="2021-08-26T16:56:00Z"/>
  <w16cex:commentExtensible w16cex:durableId="24D2004F" w16cex:dateUtc="2021-08-26T16:58:00Z"/>
  <w16cex:commentExtensible w16cex:durableId="24D20072" w16cex:dateUtc="2021-08-26T16:58:00Z"/>
  <w16cex:commentExtensible w16cex:durableId="24D20095" w16cex:dateUtc="2021-08-26T16:59:00Z"/>
  <w16cex:commentExtensible w16cex:durableId="24D2012F" w16cex:dateUtc="2021-08-26T17:01:00Z"/>
  <w16cex:commentExtensible w16cex:durableId="24D201E5" w16cex:dateUtc="2021-08-26T17:04:00Z"/>
  <w16cex:commentExtensible w16cex:durableId="24D201BF" w16cex:dateUtc="2021-08-26T17:04:00Z"/>
  <w16cex:commentExtensible w16cex:durableId="24D2020F" w16cex:dateUtc="2021-08-26T17:05:00Z"/>
  <w16cex:commentExtensible w16cex:durableId="24D20274" w16cex:dateUtc="2021-08-26T17:07:00Z"/>
  <w16cex:commentExtensible w16cex:durableId="24D202EE" w16cex:dateUtc="2021-08-26T17:09:00Z"/>
  <w16cex:commentExtensible w16cex:durableId="24D2035A" w16cex:dateUtc="2021-08-26T17:11:00Z"/>
  <w16cex:commentExtensible w16cex:durableId="24D203FA" w16cex:dateUtc="2021-08-26T17:13:00Z"/>
  <w16cex:commentExtensible w16cex:durableId="24D205E0" w16cex:dateUtc="2021-08-26T17:21:00Z"/>
  <w16cex:commentExtensible w16cex:durableId="24D20620" w16cex:dateUtc="2021-08-26T17:22:00Z"/>
  <w16cex:commentExtensible w16cex:durableId="24D206F3" w16cex:dateUtc="2021-08-26T17:26:00Z"/>
  <w16cex:commentExtensible w16cex:durableId="24D2071A" w16cex:dateUtc="2021-08-26T17:27:00Z"/>
  <w16cex:commentExtensible w16cex:durableId="24D20819" w16cex:dateUtc="2021-08-26T17:31:00Z"/>
  <w16cex:commentExtensible w16cex:durableId="24D20889" w16cex:dateUtc="2021-08-26T17:33:00Z"/>
  <w16cex:commentExtensible w16cex:durableId="24D2092D" w16cex:dateUtc="2021-08-26T17:35:00Z"/>
  <w16cex:commentExtensible w16cex:durableId="24D2099D" w16cex:dateUtc="2021-08-26T17:37:00Z"/>
  <w16cex:commentExtensible w16cex:durableId="24D209B2" w16cex:dateUtc="2021-08-26T17:38:00Z"/>
  <w16cex:commentExtensible w16cex:durableId="24D20D2C" w16cex:dateUtc="2021-08-26T17:53:00Z"/>
  <w16cex:commentExtensible w16cex:durableId="24D20D48" w16cex:dateUtc="2021-08-26T17:53:00Z"/>
  <w16cex:commentExtensible w16cex:durableId="24D20F4B" w16cex:dateUtc="2021-08-26T18:02:00Z"/>
  <w16cex:commentExtensible w16cex:durableId="24D20FDE" w16cex:dateUtc="2021-08-26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DB529" w16cid:durableId="24BCEBC5"/>
  <w16cid:commentId w16cid:paraId="31E54796" w16cid:durableId="24BCEBC6"/>
  <w16cid:commentId w16cid:paraId="3A6ABA46" w16cid:durableId="24D1F42C"/>
  <w16cid:commentId w16cid:paraId="42503067" w16cid:durableId="24BCEBC7"/>
  <w16cid:commentId w16cid:paraId="602160A0" w16cid:durableId="24BCEBC8"/>
  <w16cid:commentId w16cid:paraId="5AD50A65" w16cid:durableId="24BCEBC9"/>
  <w16cid:commentId w16cid:paraId="5CD7B5A9" w16cid:durableId="24BCEBCA"/>
  <w16cid:commentId w16cid:paraId="4260BC1E" w16cid:durableId="24BCEBCB"/>
  <w16cid:commentId w16cid:paraId="64D4C97F" w16cid:durableId="24BCEBCC"/>
  <w16cid:commentId w16cid:paraId="69B7C528" w16cid:durableId="24D1F49F"/>
  <w16cid:commentId w16cid:paraId="56336B53" w16cid:durableId="24BCEBCD"/>
  <w16cid:commentId w16cid:paraId="7C83093C" w16cid:durableId="24D1F4DB"/>
  <w16cid:commentId w16cid:paraId="1730819A" w16cid:durableId="24BCEBCE"/>
  <w16cid:commentId w16cid:paraId="2ABF97DB" w16cid:durableId="24D1F5CA"/>
  <w16cid:commentId w16cid:paraId="28240C27" w16cid:durableId="24D1F643"/>
  <w16cid:commentId w16cid:paraId="10A6E93A" w16cid:durableId="24BCEBCF"/>
  <w16cid:commentId w16cid:paraId="1A4D1FDD" w16cid:durableId="24D1F802"/>
  <w16cid:commentId w16cid:paraId="5007A3D0" w16cid:durableId="24D1F6E1"/>
  <w16cid:commentId w16cid:paraId="5407ECD1" w16cid:durableId="24BCEBD0"/>
  <w16cid:commentId w16cid:paraId="1C89853F" w16cid:durableId="24BCEBD1"/>
  <w16cid:commentId w16cid:paraId="209B9C30" w16cid:durableId="24BCEBD2"/>
  <w16cid:commentId w16cid:paraId="3F75989E" w16cid:durableId="24D1F74D"/>
  <w16cid:commentId w16cid:paraId="1358EB52" w16cid:durableId="24D1F997"/>
  <w16cid:commentId w16cid:paraId="52B06AB2" w16cid:durableId="24BCEBD3"/>
  <w16cid:commentId w16cid:paraId="2631C754" w16cid:durableId="24D1FA07"/>
  <w16cid:commentId w16cid:paraId="735B60E3" w16cid:durableId="24BCEBD4"/>
  <w16cid:commentId w16cid:paraId="2094897D" w16cid:durableId="24D1FA49"/>
  <w16cid:commentId w16cid:paraId="53C052A0" w16cid:durableId="24D1FAD6"/>
  <w16cid:commentId w16cid:paraId="6BDC83E9" w16cid:durableId="24D1FC7B"/>
  <w16cid:commentId w16cid:paraId="5D69E304" w16cid:durableId="24D1FC97"/>
  <w16cid:commentId w16cid:paraId="04446E07" w16cid:durableId="24D1FD44"/>
  <w16cid:commentId w16cid:paraId="4286245C" w16cid:durableId="24D1FE10"/>
  <w16cid:commentId w16cid:paraId="60D75795" w16cid:durableId="24D1FE6D"/>
  <w16cid:commentId w16cid:paraId="4308FA6A" w16cid:durableId="24D1FF55"/>
  <w16cid:commentId w16cid:paraId="352E6A10" w16cid:durableId="24D1FF85"/>
  <w16cid:commentId w16cid:paraId="50EA1C00" w16cid:durableId="24D1FFDA"/>
  <w16cid:commentId w16cid:paraId="53973F3E" w16cid:durableId="24D2004F"/>
  <w16cid:commentId w16cid:paraId="27BF16C5" w16cid:durableId="24D20072"/>
  <w16cid:commentId w16cid:paraId="240785BC" w16cid:durableId="24D20095"/>
  <w16cid:commentId w16cid:paraId="77FF0814" w16cid:durableId="24D2012F"/>
  <w16cid:commentId w16cid:paraId="58D925BA" w16cid:durableId="24D201E5"/>
  <w16cid:commentId w16cid:paraId="1C47EC65" w16cid:durableId="24D201BF"/>
  <w16cid:commentId w16cid:paraId="01D09A18" w16cid:durableId="24D2020F"/>
  <w16cid:commentId w16cid:paraId="365B334B" w16cid:durableId="24D20274"/>
  <w16cid:commentId w16cid:paraId="6B1CA310" w16cid:durableId="24D202EE"/>
  <w16cid:commentId w16cid:paraId="3BF5CF17" w16cid:durableId="24D2035A"/>
  <w16cid:commentId w16cid:paraId="6A4D1839" w16cid:durableId="24D203FA"/>
  <w16cid:commentId w16cid:paraId="5113A058" w16cid:durableId="24D205E0"/>
  <w16cid:commentId w16cid:paraId="3179CEF6" w16cid:durableId="24D20620"/>
  <w16cid:commentId w16cid:paraId="1227114C" w16cid:durableId="24D206F3"/>
  <w16cid:commentId w16cid:paraId="365C1D2D" w16cid:durableId="24D2071A"/>
  <w16cid:commentId w16cid:paraId="003A1185" w16cid:durableId="24D20819"/>
  <w16cid:commentId w16cid:paraId="1C5D2F88" w16cid:durableId="24D20889"/>
  <w16cid:commentId w16cid:paraId="2E021560" w16cid:durableId="24D2092D"/>
  <w16cid:commentId w16cid:paraId="525220E2" w16cid:durableId="24D2099D"/>
  <w16cid:commentId w16cid:paraId="7585CEBF" w16cid:durableId="24D209B2"/>
  <w16cid:commentId w16cid:paraId="3185A057" w16cid:durableId="24D20D2C"/>
  <w16cid:commentId w16cid:paraId="2DC10EE6" w16cid:durableId="24D20D48"/>
  <w16cid:commentId w16cid:paraId="6AF2D257" w16cid:durableId="24D20F4B"/>
  <w16cid:commentId w16cid:paraId="0D642F5D" w16cid:durableId="24D20F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46DAD" w14:textId="77777777" w:rsidR="00B266CE" w:rsidRDefault="00B266CE">
      <w:r>
        <w:separator/>
      </w:r>
    </w:p>
  </w:endnote>
  <w:endnote w:type="continuationSeparator" w:id="0">
    <w:p w14:paraId="1E920DD0" w14:textId="77777777" w:rsidR="00B266CE" w:rsidRDefault="00B2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ACFFCFA" w:usb2="00000016" w:usb3="00000000" w:csb0="00100001" w:csb1="00000000"/>
  </w:font>
  <w:font w:name="Minion Pro">
    <w:altName w:val="Calibri"/>
    <w:panose1 w:val="00000000000000000000"/>
    <w:charset w:val="00"/>
    <w:family w:val="roman"/>
    <w:notTrueType/>
    <w:pitch w:val="default"/>
    <w:sig w:usb0="00000003" w:usb1="00000000" w:usb2="00000000" w:usb3="00000000" w:csb0="00000001" w:csb1="00000000"/>
  </w:font>
  <w:font w:name="GibsonLight">
    <w:altName w:val="Calibri"/>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bso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34EF0" w14:textId="4D30DBCF" w:rsidR="00B266CE" w:rsidRPr="009278C6" w:rsidRDefault="00B266CE" w:rsidP="00B27054">
    <w:pPr>
      <w:pStyle w:val="Footer"/>
      <w:jc w:val="center"/>
      <w:rPr>
        <w:rFonts w:ascii="GibsonLight" w:hAnsi="GibsonLight"/>
        <w:spacing w:val="12"/>
        <w:sz w:val="24"/>
        <w:szCs w:val="24"/>
      </w:rPr>
    </w:pPr>
    <w:r w:rsidRPr="009278C6">
      <w:rPr>
        <w:rFonts w:ascii="GibsonLight" w:hAnsi="GibsonLight"/>
        <w:spacing w:val="12"/>
        <w:sz w:val="24"/>
        <w:szCs w:val="24"/>
      </w:rPr>
      <w:t xml:space="preserve">CEA Registry Data Collection Manual - </w:t>
    </w:r>
    <w:r w:rsidRPr="009278C6">
      <w:rPr>
        <w:rStyle w:val="PageNumber"/>
        <w:rFonts w:ascii="GibsonLight" w:hAnsi="GibsonLight"/>
        <w:spacing w:val="12"/>
        <w:sz w:val="24"/>
        <w:szCs w:val="24"/>
      </w:rPr>
      <w:fldChar w:fldCharType="begin"/>
    </w:r>
    <w:r w:rsidRPr="009278C6">
      <w:rPr>
        <w:rStyle w:val="PageNumber"/>
        <w:rFonts w:ascii="GibsonLight" w:hAnsi="GibsonLight"/>
        <w:spacing w:val="12"/>
        <w:sz w:val="24"/>
        <w:szCs w:val="24"/>
      </w:rPr>
      <w:instrText xml:space="preserve"> PAGE </w:instrText>
    </w:r>
    <w:r w:rsidRPr="009278C6">
      <w:rPr>
        <w:rStyle w:val="PageNumber"/>
        <w:rFonts w:ascii="GibsonLight" w:hAnsi="GibsonLight"/>
        <w:spacing w:val="12"/>
        <w:sz w:val="24"/>
        <w:szCs w:val="24"/>
      </w:rPr>
      <w:fldChar w:fldCharType="separate"/>
    </w:r>
    <w:r w:rsidR="008A4CA2">
      <w:rPr>
        <w:rStyle w:val="PageNumber"/>
        <w:rFonts w:ascii="GibsonLight" w:hAnsi="GibsonLight"/>
        <w:noProof/>
        <w:spacing w:val="12"/>
        <w:sz w:val="24"/>
        <w:szCs w:val="24"/>
      </w:rPr>
      <w:t>10</w:t>
    </w:r>
    <w:r w:rsidRPr="009278C6">
      <w:rPr>
        <w:rStyle w:val="PageNumber"/>
        <w:rFonts w:ascii="GibsonLight" w:hAnsi="GibsonLight"/>
        <w:spacing w:val="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0618" w14:textId="77777777" w:rsidR="00B266CE" w:rsidRDefault="00B266CE" w:rsidP="00FD7A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5AD6F" w14:textId="77777777" w:rsidR="00B266CE" w:rsidRDefault="00B266CE">
      <w:r>
        <w:separator/>
      </w:r>
    </w:p>
  </w:footnote>
  <w:footnote w:type="continuationSeparator" w:id="0">
    <w:p w14:paraId="4140AA0A" w14:textId="77777777" w:rsidR="00B266CE" w:rsidRDefault="00B26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137DB" w14:textId="77777777" w:rsidR="00B266CE" w:rsidRPr="009278C6" w:rsidRDefault="00B266CE" w:rsidP="004B4C89">
    <w:pPr>
      <w:pStyle w:val="Footer"/>
      <w:jc w:val="right"/>
      <w:rPr>
        <w:rFonts w:ascii="GibsonLight" w:hAnsi="GibsonLight"/>
        <w:b/>
        <w:spacing w:val="12"/>
        <w:sz w:val="24"/>
        <w:szCs w:val="24"/>
      </w:rPr>
    </w:pPr>
    <w:r w:rsidRPr="009278C6">
      <w:rPr>
        <w:rStyle w:val="PageNumber"/>
        <w:rFonts w:ascii="GibsonLight" w:hAnsi="GibsonLight"/>
        <w:b/>
        <w:spacing w:val="12"/>
        <w:sz w:val="24"/>
        <w:szCs w:val="24"/>
      </w:rPr>
      <w:t>Center for the Evaluation of Value and Risk in Health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F3E0A" w14:textId="0E415BFC" w:rsidR="00B266CE" w:rsidRPr="00FC70B4" w:rsidRDefault="00B266CE" w:rsidP="00BE3CE7">
    <w:pPr>
      <w:pStyle w:val="Header"/>
      <w:jc w:val="right"/>
      <w:rPr>
        <w:b/>
        <w:sz w:val="22"/>
        <w:szCs w:val="22"/>
      </w:rPr>
    </w:pPr>
    <w:r>
      <w:rPr>
        <w:noProof/>
      </w:rPr>
      <w:drawing>
        <wp:inline distT="0" distB="0" distL="0" distR="0" wp14:anchorId="7C7280C6" wp14:editId="4FC32EE7">
          <wp:extent cx="5943600" cy="7075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7571"/>
                  </a:xfrm>
                  <a:prstGeom prst="rect">
                    <a:avLst/>
                  </a:prstGeom>
                  <a:noFill/>
                  <a:ln>
                    <a:noFill/>
                  </a:ln>
                </pic:spPr>
              </pic:pic>
            </a:graphicData>
          </a:graphic>
        </wp:inline>
      </w:drawing>
    </w:r>
    <w:r>
      <w:rPr>
        <w:b/>
        <w:sz w:val="22"/>
        <w:szCs w:val="22"/>
      </w:rPr>
      <w:tab/>
    </w: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06B5"/>
    <w:multiLevelType w:val="hybridMultilevel"/>
    <w:tmpl w:val="DE8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61276"/>
    <w:multiLevelType w:val="hybridMultilevel"/>
    <w:tmpl w:val="EB86249A"/>
    <w:lvl w:ilvl="0" w:tplc="E9A4F9A2">
      <w:start w:val="1"/>
      <w:numFmt w:val="decimal"/>
      <w:lvlText w:val="%1."/>
      <w:lvlJc w:val="left"/>
      <w:pPr>
        <w:ind w:left="4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473CC"/>
    <w:multiLevelType w:val="hybridMultilevel"/>
    <w:tmpl w:val="4F7E1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355AA9"/>
    <w:multiLevelType w:val="hybridMultilevel"/>
    <w:tmpl w:val="8FBEE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AD60FC"/>
    <w:multiLevelType w:val="hybridMultilevel"/>
    <w:tmpl w:val="D7A68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FA2D0C"/>
    <w:multiLevelType w:val="hybridMultilevel"/>
    <w:tmpl w:val="ABDCA88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DB56DB1"/>
    <w:multiLevelType w:val="hybridMultilevel"/>
    <w:tmpl w:val="C59C8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432C52"/>
    <w:multiLevelType w:val="hybridMultilevel"/>
    <w:tmpl w:val="115C5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D81EA1"/>
    <w:multiLevelType w:val="hybridMultilevel"/>
    <w:tmpl w:val="079C4094"/>
    <w:lvl w:ilvl="0" w:tplc="F264701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D742A1"/>
    <w:multiLevelType w:val="hybridMultilevel"/>
    <w:tmpl w:val="AEC8B5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1319F0"/>
    <w:multiLevelType w:val="hybridMultilevel"/>
    <w:tmpl w:val="9DA8E6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8BC6400"/>
    <w:multiLevelType w:val="hybridMultilevel"/>
    <w:tmpl w:val="1C74E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A23A93"/>
    <w:multiLevelType w:val="hybridMultilevel"/>
    <w:tmpl w:val="13AAE2BC"/>
    <w:lvl w:ilvl="0" w:tplc="B5A89CBA">
      <w:start w:val="1"/>
      <w:numFmt w:val="decimal"/>
      <w:lvlText w:val="%1."/>
      <w:lvlJc w:val="left"/>
      <w:pPr>
        <w:ind w:left="29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F67D3"/>
    <w:multiLevelType w:val="hybridMultilevel"/>
    <w:tmpl w:val="BC6895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02E04A2"/>
    <w:multiLevelType w:val="hybridMultilevel"/>
    <w:tmpl w:val="DEB4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5462"/>
    <w:multiLevelType w:val="hybridMultilevel"/>
    <w:tmpl w:val="D542C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4C5CB6"/>
    <w:multiLevelType w:val="hybridMultilevel"/>
    <w:tmpl w:val="F9749E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582145"/>
    <w:multiLevelType w:val="hybridMultilevel"/>
    <w:tmpl w:val="6BDC3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D12261"/>
    <w:multiLevelType w:val="hybridMultilevel"/>
    <w:tmpl w:val="3AC89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1F5102"/>
    <w:multiLevelType w:val="hybridMultilevel"/>
    <w:tmpl w:val="22684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54062A6"/>
    <w:multiLevelType w:val="hybridMultilevel"/>
    <w:tmpl w:val="A99A1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607529"/>
    <w:multiLevelType w:val="hybridMultilevel"/>
    <w:tmpl w:val="F4F02CE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4FB178CD"/>
    <w:multiLevelType w:val="hybridMultilevel"/>
    <w:tmpl w:val="3D9E6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03704DB"/>
    <w:multiLevelType w:val="hybridMultilevel"/>
    <w:tmpl w:val="CFE87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496F34"/>
    <w:multiLevelType w:val="hybridMultilevel"/>
    <w:tmpl w:val="CE76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0487F"/>
    <w:multiLevelType w:val="hybridMultilevel"/>
    <w:tmpl w:val="292025E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219D6"/>
    <w:multiLevelType w:val="hybridMultilevel"/>
    <w:tmpl w:val="DFEC05AC"/>
    <w:lvl w:ilvl="0" w:tplc="A6DE10EE">
      <w:start w:val="1"/>
      <w:numFmt w:val="decimal"/>
      <w:lvlText w:val="%1."/>
      <w:lvlJc w:val="left"/>
      <w:pPr>
        <w:tabs>
          <w:tab w:val="num" w:pos="6660"/>
        </w:tabs>
        <w:ind w:left="66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AB432C"/>
    <w:multiLevelType w:val="hybridMultilevel"/>
    <w:tmpl w:val="4ACA9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9710B8"/>
    <w:multiLevelType w:val="hybridMultilevel"/>
    <w:tmpl w:val="21ECA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DE53309"/>
    <w:multiLevelType w:val="hybridMultilevel"/>
    <w:tmpl w:val="5FC0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2661E"/>
    <w:multiLevelType w:val="hybridMultilevel"/>
    <w:tmpl w:val="97E0F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3211A0D"/>
    <w:multiLevelType w:val="multilevel"/>
    <w:tmpl w:val="EDD490F2"/>
    <w:lvl w:ilvl="0">
      <w:start w:val="1"/>
      <w:numFmt w:val="upperRoman"/>
      <w:pStyle w:val="Heading1"/>
      <w:lvlText w:val="%1."/>
      <w:lvlJc w:val="left"/>
      <w:pPr>
        <w:ind w:left="0" w:firstLine="0"/>
      </w:pPr>
    </w:lvl>
    <w:lvl w:ilvl="1">
      <w:start w:val="1"/>
      <w:numFmt w:val="upperLetter"/>
      <w:pStyle w:val="Heading2"/>
      <w:lvlText w:val="%2."/>
      <w:lvlJc w:val="left"/>
      <w:pPr>
        <w:ind w:left="630" w:firstLine="0"/>
      </w:pPr>
      <w:rPr>
        <w:rFonts w:ascii="Arial Narrow" w:hAnsi="Arial Narrow"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3FE28D3"/>
    <w:multiLevelType w:val="hybridMultilevel"/>
    <w:tmpl w:val="B5EA7C5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3" w15:restartNumberingAfterBreak="0">
    <w:nsid w:val="77E56749"/>
    <w:multiLevelType w:val="hybridMultilevel"/>
    <w:tmpl w:val="2B9C7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76504"/>
    <w:multiLevelType w:val="hybridMultilevel"/>
    <w:tmpl w:val="49360B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AFD1DDF"/>
    <w:multiLevelType w:val="hybridMultilevel"/>
    <w:tmpl w:val="79669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E5C6C1A"/>
    <w:multiLevelType w:val="hybridMultilevel"/>
    <w:tmpl w:val="02AE1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1"/>
  </w:num>
  <w:num w:numId="3">
    <w:abstractNumId w:val="31"/>
  </w:num>
  <w:num w:numId="4">
    <w:abstractNumId w:val="33"/>
  </w:num>
  <w:num w:numId="5">
    <w:abstractNumId w:val="25"/>
  </w:num>
  <w:num w:numId="6">
    <w:abstractNumId w:val="24"/>
  </w:num>
  <w:num w:numId="7">
    <w:abstractNumId w:val="27"/>
  </w:num>
  <w:num w:numId="8">
    <w:abstractNumId w:val="17"/>
  </w:num>
  <w:num w:numId="9">
    <w:abstractNumId w:val="29"/>
  </w:num>
  <w:num w:numId="10">
    <w:abstractNumId w:val="20"/>
  </w:num>
  <w:num w:numId="11">
    <w:abstractNumId w:val="2"/>
  </w:num>
  <w:num w:numId="12">
    <w:abstractNumId w:val="23"/>
  </w:num>
  <w:num w:numId="13">
    <w:abstractNumId w:val="8"/>
  </w:num>
  <w:num w:numId="14">
    <w:abstractNumId w:val="12"/>
  </w:num>
  <w:num w:numId="15">
    <w:abstractNumId w:val="14"/>
  </w:num>
  <w:num w:numId="16">
    <w:abstractNumId w:val="15"/>
  </w:num>
  <w:num w:numId="17">
    <w:abstractNumId w:val="7"/>
  </w:num>
  <w:num w:numId="18">
    <w:abstractNumId w:val="28"/>
  </w:num>
  <w:num w:numId="19">
    <w:abstractNumId w:val="13"/>
  </w:num>
  <w:num w:numId="20">
    <w:abstractNumId w:val="30"/>
  </w:num>
  <w:num w:numId="21">
    <w:abstractNumId w:val="10"/>
  </w:num>
  <w:num w:numId="22">
    <w:abstractNumId w:val="32"/>
  </w:num>
  <w:num w:numId="23">
    <w:abstractNumId w:val="34"/>
  </w:num>
  <w:num w:numId="24">
    <w:abstractNumId w:val="5"/>
  </w:num>
  <w:num w:numId="25">
    <w:abstractNumId w:val="4"/>
  </w:num>
  <w:num w:numId="26">
    <w:abstractNumId w:val="3"/>
  </w:num>
  <w:num w:numId="27">
    <w:abstractNumId w:val="21"/>
  </w:num>
  <w:num w:numId="28">
    <w:abstractNumId w:val="35"/>
  </w:num>
  <w:num w:numId="29">
    <w:abstractNumId w:val="19"/>
  </w:num>
  <w:num w:numId="30">
    <w:abstractNumId w:val="6"/>
  </w:num>
  <w:num w:numId="31">
    <w:abstractNumId w:val="11"/>
  </w:num>
  <w:num w:numId="32">
    <w:abstractNumId w:val="22"/>
  </w:num>
  <w:num w:numId="33">
    <w:abstractNumId w:val="9"/>
  </w:num>
  <w:num w:numId="34">
    <w:abstractNumId w:val="0"/>
  </w:num>
  <w:num w:numId="35">
    <w:abstractNumId w:val="16"/>
  </w:num>
  <w:num w:numId="36">
    <w:abstractNumId w:val="36"/>
  </w:num>
  <w:num w:numId="37">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9153">
      <o:colormru v:ext="edit" colors="#9fc9eb,#369,#e01f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A3"/>
    <w:rsid w:val="000001F3"/>
    <w:rsid w:val="000018B7"/>
    <w:rsid w:val="000019B4"/>
    <w:rsid w:val="0000317C"/>
    <w:rsid w:val="00003265"/>
    <w:rsid w:val="000043B3"/>
    <w:rsid w:val="00007378"/>
    <w:rsid w:val="00007778"/>
    <w:rsid w:val="00010E04"/>
    <w:rsid w:val="00012761"/>
    <w:rsid w:val="00012DB0"/>
    <w:rsid w:val="00014B8C"/>
    <w:rsid w:val="00017701"/>
    <w:rsid w:val="00020371"/>
    <w:rsid w:val="00021E4A"/>
    <w:rsid w:val="000222B4"/>
    <w:rsid w:val="00024773"/>
    <w:rsid w:val="00025191"/>
    <w:rsid w:val="00026459"/>
    <w:rsid w:val="000264BA"/>
    <w:rsid w:val="00030149"/>
    <w:rsid w:val="00033024"/>
    <w:rsid w:val="00034CF6"/>
    <w:rsid w:val="000372AC"/>
    <w:rsid w:val="00037C2E"/>
    <w:rsid w:val="00041B6A"/>
    <w:rsid w:val="00042004"/>
    <w:rsid w:val="00042F21"/>
    <w:rsid w:val="00045AFE"/>
    <w:rsid w:val="00045DAF"/>
    <w:rsid w:val="000467E3"/>
    <w:rsid w:val="000474A2"/>
    <w:rsid w:val="00047BAD"/>
    <w:rsid w:val="00047EE2"/>
    <w:rsid w:val="0005178D"/>
    <w:rsid w:val="00051836"/>
    <w:rsid w:val="00052D0D"/>
    <w:rsid w:val="00053F8D"/>
    <w:rsid w:val="00055A5F"/>
    <w:rsid w:val="00056F63"/>
    <w:rsid w:val="0006019E"/>
    <w:rsid w:val="00062888"/>
    <w:rsid w:val="00062908"/>
    <w:rsid w:val="00063B53"/>
    <w:rsid w:val="00064133"/>
    <w:rsid w:val="00065BB8"/>
    <w:rsid w:val="000671AF"/>
    <w:rsid w:val="00067B21"/>
    <w:rsid w:val="00067FA6"/>
    <w:rsid w:val="00071B97"/>
    <w:rsid w:val="00071BD6"/>
    <w:rsid w:val="0007278A"/>
    <w:rsid w:val="00073127"/>
    <w:rsid w:val="00073219"/>
    <w:rsid w:val="000736B9"/>
    <w:rsid w:val="00073EC3"/>
    <w:rsid w:val="00074FCF"/>
    <w:rsid w:val="00075BDC"/>
    <w:rsid w:val="000775BB"/>
    <w:rsid w:val="00082A19"/>
    <w:rsid w:val="00083761"/>
    <w:rsid w:val="00084A66"/>
    <w:rsid w:val="00086F1C"/>
    <w:rsid w:val="00091047"/>
    <w:rsid w:val="00095D0A"/>
    <w:rsid w:val="00097E0F"/>
    <w:rsid w:val="00097F85"/>
    <w:rsid w:val="000A23CB"/>
    <w:rsid w:val="000A3EBB"/>
    <w:rsid w:val="000A52C1"/>
    <w:rsid w:val="000A5798"/>
    <w:rsid w:val="000A66C9"/>
    <w:rsid w:val="000A7C26"/>
    <w:rsid w:val="000B1D84"/>
    <w:rsid w:val="000B345A"/>
    <w:rsid w:val="000B5D20"/>
    <w:rsid w:val="000B67AF"/>
    <w:rsid w:val="000C0AA9"/>
    <w:rsid w:val="000C0DE9"/>
    <w:rsid w:val="000D1396"/>
    <w:rsid w:val="000D3C1A"/>
    <w:rsid w:val="000D3D38"/>
    <w:rsid w:val="000D44BE"/>
    <w:rsid w:val="000D5323"/>
    <w:rsid w:val="000D5993"/>
    <w:rsid w:val="000D5B8E"/>
    <w:rsid w:val="000D5F70"/>
    <w:rsid w:val="000D7A0A"/>
    <w:rsid w:val="000E17CC"/>
    <w:rsid w:val="000E347D"/>
    <w:rsid w:val="000E4021"/>
    <w:rsid w:val="000E4E9E"/>
    <w:rsid w:val="000E629B"/>
    <w:rsid w:val="000F0DA8"/>
    <w:rsid w:val="000F0FD3"/>
    <w:rsid w:val="000F2E5B"/>
    <w:rsid w:val="000F4783"/>
    <w:rsid w:val="000F587A"/>
    <w:rsid w:val="000F66D1"/>
    <w:rsid w:val="00100725"/>
    <w:rsid w:val="0010077E"/>
    <w:rsid w:val="0010214D"/>
    <w:rsid w:val="001029C3"/>
    <w:rsid w:val="001033F6"/>
    <w:rsid w:val="001063E6"/>
    <w:rsid w:val="0010646F"/>
    <w:rsid w:val="001075A0"/>
    <w:rsid w:val="00107DA3"/>
    <w:rsid w:val="00113B24"/>
    <w:rsid w:val="00114CDA"/>
    <w:rsid w:val="00115489"/>
    <w:rsid w:val="00115573"/>
    <w:rsid w:val="001163C5"/>
    <w:rsid w:val="00116CAD"/>
    <w:rsid w:val="001173EF"/>
    <w:rsid w:val="0012084C"/>
    <w:rsid w:val="00121BCA"/>
    <w:rsid w:val="001234DD"/>
    <w:rsid w:val="00125B40"/>
    <w:rsid w:val="00126B9C"/>
    <w:rsid w:val="00127992"/>
    <w:rsid w:val="00130583"/>
    <w:rsid w:val="0013307F"/>
    <w:rsid w:val="001331FF"/>
    <w:rsid w:val="00140558"/>
    <w:rsid w:val="00142BDC"/>
    <w:rsid w:val="00145C93"/>
    <w:rsid w:val="00146366"/>
    <w:rsid w:val="00146F7E"/>
    <w:rsid w:val="0014723D"/>
    <w:rsid w:val="001479CA"/>
    <w:rsid w:val="00150818"/>
    <w:rsid w:val="00151749"/>
    <w:rsid w:val="00151B6B"/>
    <w:rsid w:val="00153200"/>
    <w:rsid w:val="001533BB"/>
    <w:rsid w:val="00153913"/>
    <w:rsid w:val="00155271"/>
    <w:rsid w:val="0016047D"/>
    <w:rsid w:val="00162EBA"/>
    <w:rsid w:val="00163619"/>
    <w:rsid w:val="0016406E"/>
    <w:rsid w:val="00166981"/>
    <w:rsid w:val="00171291"/>
    <w:rsid w:val="0017142B"/>
    <w:rsid w:val="00171932"/>
    <w:rsid w:val="001739EE"/>
    <w:rsid w:val="00173B4F"/>
    <w:rsid w:val="001757F4"/>
    <w:rsid w:val="00175EAD"/>
    <w:rsid w:val="0018028D"/>
    <w:rsid w:val="001802DD"/>
    <w:rsid w:val="00181926"/>
    <w:rsid w:val="00181A79"/>
    <w:rsid w:val="00182BD3"/>
    <w:rsid w:val="00183B01"/>
    <w:rsid w:val="0018418C"/>
    <w:rsid w:val="00184A26"/>
    <w:rsid w:val="00184D29"/>
    <w:rsid w:val="00185DD8"/>
    <w:rsid w:val="00186238"/>
    <w:rsid w:val="001873EA"/>
    <w:rsid w:val="001908DE"/>
    <w:rsid w:val="00190E41"/>
    <w:rsid w:val="0019745A"/>
    <w:rsid w:val="00197FA3"/>
    <w:rsid w:val="001A000D"/>
    <w:rsid w:val="001A3BA3"/>
    <w:rsid w:val="001A5ABD"/>
    <w:rsid w:val="001A6642"/>
    <w:rsid w:val="001A7EE9"/>
    <w:rsid w:val="001B0CE7"/>
    <w:rsid w:val="001B1029"/>
    <w:rsid w:val="001B1349"/>
    <w:rsid w:val="001B2E13"/>
    <w:rsid w:val="001B3712"/>
    <w:rsid w:val="001B49D2"/>
    <w:rsid w:val="001B5061"/>
    <w:rsid w:val="001B5F77"/>
    <w:rsid w:val="001B6C45"/>
    <w:rsid w:val="001C07C8"/>
    <w:rsid w:val="001C0B48"/>
    <w:rsid w:val="001C13E5"/>
    <w:rsid w:val="001C2DD1"/>
    <w:rsid w:val="001C4DF6"/>
    <w:rsid w:val="001C7109"/>
    <w:rsid w:val="001D00DB"/>
    <w:rsid w:val="001D1114"/>
    <w:rsid w:val="001D26A2"/>
    <w:rsid w:val="001D4569"/>
    <w:rsid w:val="001D4CE3"/>
    <w:rsid w:val="001D679F"/>
    <w:rsid w:val="001D74DB"/>
    <w:rsid w:val="001E0117"/>
    <w:rsid w:val="001E2B3C"/>
    <w:rsid w:val="001E2B84"/>
    <w:rsid w:val="001E4A2E"/>
    <w:rsid w:val="001E6033"/>
    <w:rsid w:val="001E7879"/>
    <w:rsid w:val="001F0A99"/>
    <w:rsid w:val="001F0BAB"/>
    <w:rsid w:val="001F216F"/>
    <w:rsid w:val="001F230A"/>
    <w:rsid w:val="001F2BE8"/>
    <w:rsid w:val="001F3A94"/>
    <w:rsid w:val="001F3C01"/>
    <w:rsid w:val="001F405B"/>
    <w:rsid w:val="001F4210"/>
    <w:rsid w:val="001F4519"/>
    <w:rsid w:val="001F6856"/>
    <w:rsid w:val="001F725C"/>
    <w:rsid w:val="002016B0"/>
    <w:rsid w:val="00202335"/>
    <w:rsid w:val="00202442"/>
    <w:rsid w:val="00203B10"/>
    <w:rsid w:val="00203CAD"/>
    <w:rsid w:val="00204000"/>
    <w:rsid w:val="00206056"/>
    <w:rsid w:val="00206B1D"/>
    <w:rsid w:val="002073E3"/>
    <w:rsid w:val="002107E8"/>
    <w:rsid w:val="002115AD"/>
    <w:rsid w:val="00211853"/>
    <w:rsid w:val="00212861"/>
    <w:rsid w:val="00213598"/>
    <w:rsid w:val="00215DBC"/>
    <w:rsid w:val="00217490"/>
    <w:rsid w:val="0022041D"/>
    <w:rsid w:val="00220D1C"/>
    <w:rsid w:val="002229DD"/>
    <w:rsid w:val="002243BE"/>
    <w:rsid w:val="002246F3"/>
    <w:rsid w:val="00225674"/>
    <w:rsid w:val="00225E07"/>
    <w:rsid w:val="002275F3"/>
    <w:rsid w:val="0023045D"/>
    <w:rsid w:val="00231665"/>
    <w:rsid w:val="00232193"/>
    <w:rsid w:val="00232CB5"/>
    <w:rsid w:val="00234CC1"/>
    <w:rsid w:val="00234FEF"/>
    <w:rsid w:val="00235B86"/>
    <w:rsid w:val="002366FD"/>
    <w:rsid w:val="002369FA"/>
    <w:rsid w:val="00240BF3"/>
    <w:rsid w:val="00241577"/>
    <w:rsid w:val="00241D4B"/>
    <w:rsid w:val="00242A9D"/>
    <w:rsid w:val="00243C97"/>
    <w:rsid w:val="00245BE3"/>
    <w:rsid w:val="00246104"/>
    <w:rsid w:val="002466C0"/>
    <w:rsid w:val="00246CEF"/>
    <w:rsid w:val="00250A9D"/>
    <w:rsid w:val="00251A01"/>
    <w:rsid w:val="00252B62"/>
    <w:rsid w:val="00253EFA"/>
    <w:rsid w:val="00256D2F"/>
    <w:rsid w:val="0026020D"/>
    <w:rsid w:val="0026046B"/>
    <w:rsid w:val="0026199D"/>
    <w:rsid w:val="0026213C"/>
    <w:rsid w:val="0026237F"/>
    <w:rsid w:val="00266BFF"/>
    <w:rsid w:val="00267E30"/>
    <w:rsid w:val="002704B6"/>
    <w:rsid w:val="00270C0F"/>
    <w:rsid w:val="00272DB5"/>
    <w:rsid w:val="0027355B"/>
    <w:rsid w:val="00275807"/>
    <w:rsid w:val="0028210C"/>
    <w:rsid w:val="00283F93"/>
    <w:rsid w:val="0028442E"/>
    <w:rsid w:val="00287627"/>
    <w:rsid w:val="00287FF5"/>
    <w:rsid w:val="00290098"/>
    <w:rsid w:val="002904AC"/>
    <w:rsid w:val="002906C2"/>
    <w:rsid w:val="002919BC"/>
    <w:rsid w:val="00292347"/>
    <w:rsid w:val="00294E27"/>
    <w:rsid w:val="00296977"/>
    <w:rsid w:val="00297E49"/>
    <w:rsid w:val="002A1C8A"/>
    <w:rsid w:val="002A4030"/>
    <w:rsid w:val="002A5C4F"/>
    <w:rsid w:val="002A5E1D"/>
    <w:rsid w:val="002A62D5"/>
    <w:rsid w:val="002A63BA"/>
    <w:rsid w:val="002B27DD"/>
    <w:rsid w:val="002B4F09"/>
    <w:rsid w:val="002B4F67"/>
    <w:rsid w:val="002B57CA"/>
    <w:rsid w:val="002B6942"/>
    <w:rsid w:val="002B69E2"/>
    <w:rsid w:val="002C0FB8"/>
    <w:rsid w:val="002C759E"/>
    <w:rsid w:val="002C7A2E"/>
    <w:rsid w:val="002D169A"/>
    <w:rsid w:val="002D1F4E"/>
    <w:rsid w:val="002D24F1"/>
    <w:rsid w:val="002D3155"/>
    <w:rsid w:val="002D383B"/>
    <w:rsid w:val="002D4CDA"/>
    <w:rsid w:val="002D5BB6"/>
    <w:rsid w:val="002D5F40"/>
    <w:rsid w:val="002E1749"/>
    <w:rsid w:val="002E180E"/>
    <w:rsid w:val="002E3117"/>
    <w:rsid w:val="002E336B"/>
    <w:rsid w:val="002E3735"/>
    <w:rsid w:val="002E4506"/>
    <w:rsid w:val="002E4DD7"/>
    <w:rsid w:val="002E5DA1"/>
    <w:rsid w:val="002E691C"/>
    <w:rsid w:val="002E6D05"/>
    <w:rsid w:val="002F070A"/>
    <w:rsid w:val="002F77FA"/>
    <w:rsid w:val="002F7B15"/>
    <w:rsid w:val="003006D1"/>
    <w:rsid w:val="00302277"/>
    <w:rsid w:val="00302519"/>
    <w:rsid w:val="00303823"/>
    <w:rsid w:val="00305E48"/>
    <w:rsid w:val="00306259"/>
    <w:rsid w:val="003063F3"/>
    <w:rsid w:val="00306928"/>
    <w:rsid w:val="00307A56"/>
    <w:rsid w:val="003110C3"/>
    <w:rsid w:val="00312227"/>
    <w:rsid w:val="0031420B"/>
    <w:rsid w:val="00314BA3"/>
    <w:rsid w:val="00316587"/>
    <w:rsid w:val="003174B3"/>
    <w:rsid w:val="00317962"/>
    <w:rsid w:val="0032002F"/>
    <w:rsid w:val="00320FF8"/>
    <w:rsid w:val="00321C63"/>
    <w:rsid w:val="00324F06"/>
    <w:rsid w:val="003252ED"/>
    <w:rsid w:val="00325732"/>
    <w:rsid w:val="00325FB1"/>
    <w:rsid w:val="00327406"/>
    <w:rsid w:val="003306CB"/>
    <w:rsid w:val="003312DB"/>
    <w:rsid w:val="0033162B"/>
    <w:rsid w:val="00332DE3"/>
    <w:rsid w:val="00335B12"/>
    <w:rsid w:val="00335F47"/>
    <w:rsid w:val="00343722"/>
    <w:rsid w:val="00343B71"/>
    <w:rsid w:val="00347CDF"/>
    <w:rsid w:val="00350CD1"/>
    <w:rsid w:val="00351641"/>
    <w:rsid w:val="00351946"/>
    <w:rsid w:val="0035230C"/>
    <w:rsid w:val="0035379A"/>
    <w:rsid w:val="00355E0D"/>
    <w:rsid w:val="00355F6D"/>
    <w:rsid w:val="00357731"/>
    <w:rsid w:val="003577D3"/>
    <w:rsid w:val="00357BAE"/>
    <w:rsid w:val="00360961"/>
    <w:rsid w:val="0036101F"/>
    <w:rsid w:val="00363ED7"/>
    <w:rsid w:val="003645F6"/>
    <w:rsid w:val="00364C95"/>
    <w:rsid w:val="00365466"/>
    <w:rsid w:val="003673F1"/>
    <w:rsid w:val="00367992"/>
    <w:rsid w:val="0037737F"/>
    <w:rsid w:val="00377EBC"/>
    <w:rsid w:val="0038099E"/>
    <w:rsid w:val="0038184D"/>
    <w:rsid w:val="00383112"/>
    <w:rsid w:val="00384218"/>
    <w:rsid w:val="00384318"/>
    <w:rsid w:val="00384378"/>
    <w:rsid w:val="003844A6"/>
    <w:rsid w:val="00385578"/>
    <w:rsid w:val="003859AF"/>
    <w:rsid w:val="00385B49"/>
    <w:rsid w:val="00385CE1"/>
    <w:rsid w:val="00390A9E"/>
    <w:rsid w:val="00391D9D"/>
    <w:rsid w:val="003942B0"/>
    <w:rsid w:val="003969D6"/>
    <w:rsid w:val="00397A6F"/>
    <w:rsid w:val="00397B15"/>
    <w:rsid w:val="003A0939"/>
    <w:rsid w:val="003A1D16"/>
    <w:rsid w:val="003A4B04"/>
    <w:rsid w:val="003A4DB0"/>
    <w:rsid w:val="003A4EE6"/>
    <w:rsid w:val="003A6815"/>
    <w:rsid w:val="003A6DC2"/>
    <w:rsid w:val="003A7F00"/>
    <w:rsid w:val="003B0398"/>
    <w:rsid w:val="003B0C8F"/>
    <w:rsid w:val="003B2A98"/>
    <w:rsid w:val="003B3D63"/>
    <w:rsid w:val="003B5699"/>
    <w:rsid w:val="003B65D6"/>
    <w:rsid w:val="003B7388"/>
    <w:rsid w:val="003C110D"/>
    <w:rsid w:val="003C1F80"/>
    <w:rsid w:val="003C23A4"/>
    <w:rsid w:val="003C2A52"/>
    <w:rsid w:val="003C2CAA"/>
    <w:rsid w:val="003C52FA"/>
    <w:rsid w:val="003D0549"/>
    <w:rsid w:val="003D1586"/>
    <w:rsid w:val="003D5962"/>
    <w:rsid w:val="003D5F60"/>
    <w:rsid w:val="003D64D3"/>
    <w:rsid w:val="003D64E9"/>
    <w:rsid w:val="003D6653"/>
    <w:rsid w:val="003D6713"/>
    <w:rsid w:val="003D7407"/>
    <w:rsid w:val="003E01C8"/>
    <w:rsid w:val="003E0DF2"/>
    <w:rsid w:val="003E1979"/>
    <w:rsid w:val="003E1DE8"/>
    <w:rsid w:val="003E1E81"/>
    <w:rsid w:val="003E2636"/>
    <w:rsid w:val="003E310F"/>
    <w:rsid w:val="003E3D9B"/>
    <w:rsid w:val="003E429F"/>
    <w:rsid w:val="003E4C02"/>
    <w:rsid w:val="003E522A"/>
    <w:rsid w:val="003E7432"/>
    <w:rsid w:val="003F012F"/>
    <w:rsid w:val="003F1269"/>
    <w:rsid w:val="003F26EA"/>
    <w:rsid w:val="003F30EE"/>
    <w:rsid w:val="003F3A4C"/>
    <w:rsid w:val="003F4B66"/>
    <w:rsid w:val="003F4F05"/>
    <w:rsid w:val="003F782C"/>
    <w:rsid w:val="004048A0"/>
    <w:rsid w:val="00407CD1"/>
    <w:rsid w:val="00407DE3"/>
    <w:rsid w:val="00410AC4"/>
    <w:rsid w:val="0041106C"/>
    <w:rsid w:val="004113CF"/>
    <w:rsid w:val="004124B9"/>
    <w:rsid w:val="004137F7"/>
    <w:rsid w:val="00415656"/>
    <w:rsid w:val="00415E50"/>
    <w:rsid w:val="00416B17"/>
    <w:rsid w:val="004201E6"/>
    <w:rsid w:val="00421645"/>
    <w:rsid w:val="00421C05"/>
    <w:rsid w:val="00423558"/>
    <w:rsid w:val="00423963"/>
    <w:rsid w:val="00423CC5"/>
    <w:rsid w:val="004241B2"/>
    <w:rsid w:val="0042728D"/>
    <w:rsid w:val="004276B2"/>
    <w:rsid w:val="00432718"/>
    <w:rsid w:val="00432844"/>
    <w:rsid w:val="00433250"/>
    <w:rsid w:val="0043389D"/>
    <w:rsid w:val="0043399D"/>
    <w:rsid w:val="004339E7"/>
    <w:rsid w:val="00434E3C"/>
    <w:rsid w:val="0043550B"/>
    <w:rsid w:val="00435C8B"/>
    <w:rsid w:val="00436B69"/>
    <w:rsid w:val="00437D18"/>
    <w:rsid w:val="00440C4A"/>
    <w:rsid w:val="00441736"/>
    <w:rsid w:val="004426FF"/>
    <w:rsid w:val="00443D29"/>
    <w:rsid w:val="00444858"/>
    <w:rsid w:val="00444C33"/>
    <w:rsid w:val="00445D84"/>
    <w:rsid w:val="00451F2C"/>
    <w:rsid w:val="00452AA8"/>
    <w:rsid w:val="00452CB8"/>
    <w:rsid w:val="00453AA3"/>
    <w:rsid w:val="00453D50"/>
    <w:rsid w:val="0045405B"/>
    <w:rsid w:val="00454B85"/>
    <w:rsid w:val="00455C73"/>
    <w:rsid w:val="00456CE2"/>
    <w:rsid w:val="00457427"/>
    <w:rsid w:val="00461654"/>
    <w:rsid w:val="0046271D"/>
    <w:rsid w:val="00462818"/>
    <w:rsid w:val="004634F0"/>
    <w:rsid w:val="00463756"/>
    <w:rsid w:val="0046595A"/>
    <w:rsid w:val="00465AD9"/>
    <w:rsid w:val="00465FE9"/>
    <w:rsid w:val="00472510"/>
    <w:rsid w:val="004731A3"/>
    <w:rsid w:val="00473D89"/>
    <w:rsid w:val="004748A4"/>
    <w:rsid w:val="00474CDD"/>
    <w:rsid w:val="004759CF"/>
    <w:rsid w:val="00475AC1"/>
    <w:rsid w:val="00477294"/>
    <w:rsid w:val="004827CC"/>
    <w:rsid w:val="0048306F"/>
    <w:rsid w:val="00484855"/>
    <w:rsid w:val="00484DCC"/>
    <w:rsid w:val="00484FFD"/>
    <w:rsid w:val="00485085"/>
    <w:rsid w:val="00485975"/>
    <w:rsid w:val="00485F2C"/>
    <w:rsid w:val="00486322"/>
    <w:rsid w:val="00487738"/>
    <w:rsid w:val="00487840"/>
    <w:rsid w:val="00487F1D"/>
    <w:rsid w:val="00490FF4"/>
    <w:rsid w:val="0049113F"/>
    <w:rsid w:val="00491BF6"/>
    <w:rsid w:val="0049285D"/>
    <w:rsid w:val="00492BC9"/>
    <w:rsid w:val="0049513F"/>
    <w:rsid w:val="004959D5"/>
    <w:rsid w:val="004A019B"/>
    <w:rsid w:val="004A13FB"/>
    <w:rsid w:val="004A1598"/>
    <w:rsid w:val="004A2C34"/>
    <w:rsid w:val="004A432F"/>
    <w:rsid w:val="004A5EBB"/>
    <w:rsid w:val="004A680E"/>
    <w:rsid w:val="004A7B86"/>
    <w:rsid w:val="004B15D0"/>
    <w:rsid w:val="004B2253"/>
    <w:rsid w:val="004B3496"/>
    <w:rsid w:val="004B46EC"/>
    <w:rsid w:val="004B4C89"/>
    <w:rsid w:val="004B5F66"/>
    <w:rsid w:val="004B7B9A"/>
    <w:rsid w:val="004C1106"/>
    <w:rsid w:val="004C1378"/>
    <w:rsid w:val="004C41AE"/>
    <w:rsid w:val="004C5295"/>
    <w:rsid w:val="004C6E8A"/>
    <w:rsid w:val="004C72D5"/>
    <w:rsid w:val="004D0681"/>
    <w:rsid w:val="004D170F"/>
    <w:rsid w:val="004D4BE8"/>
    <w:rsid w:val="004D4C9D"/>
    <w:rsid w:val="004D74A7"/>
    <w:rsid w:val="004E22C7"/>
    <w:rsid w:val="004E28AD"/>
    <w:rsid w:val="004E417B"/>
    <w:rsid w:val="004E4360"/>
    <w:rsid w:val="004E478B"/>
    <w:rsid w:val="004E4AF5"/>
    <w:rsid w:val="004E5EC0"/>
    <w:rsid w:val="004E6187"/>
    <w:rsid w:val="004E6DB8"/>
    <w:rsid w:val="004F0578"/>
    <w:rsid w:val="004F0CD6"/>
    <w:rsid w:val="004F2728"/>
    <w:rsid w:val="004F2FC5"/>
    <w:rsid w:val="004F323B"/>
    <w:rsid w:val="004F38C6"/>
    <w:rsid w:val="004F3F78"/>
    <w:rsid w:val="004F4328"/>
    <w:rsid w:val="004F5949"/>
    <w:rsid w:val="004F6089"/>
    <w:rsid w:val="004F7D73"/>
    <w:rsid w:val="005012AD"/>
    <w:rsid w:val="005020C4"/>
    <w:rsid w:val="0050251C"/>
    <w:rsid w:val="00502D07"/>
    <w:rsid w:val="00503F74"/>
    <w:rsid w:val="0050413E"/>
    <w:rsid w:val="00505F99"/>
    <w:rsid w:val="00506042"/>
    <w:rsid w:val="005077C2"/>
    <w:rsid w:val="00511485"/>
    <w:rsid w:val="00512724"/>
    <w:rsid w:val="00512AD8"/>
    <w:rsid w:val="00512E49"/>
    <w:rsid w:val="00514D24"/>
    <w:rsid w:val="00517E5A"/>
    <w:rsid w:val="005213B6"/>
    <w:rsid w:val="00523480"/>
    <w:rsid w:val="00523EB3"/>
    <w:rsid w:val="00524B21"/>
    <w:rsid w:val="005255CF"/>
    <w:rsid w:val="00527184"/>
    <w:rsid w:val="00531A1F"/>
    <w:rsid w:val="00532C35"/>
    <w:rsid w:val="00535371"/>
    <w:rsid w:val="00535A8D"/>
    <w:rsid w:val="0053638F"/>
    <w:rsid w:val="005400B7"/>
    <w:rsid w:val="00542AF2"/>
    <w:rsid w:val="00542CB7"/>
    <w:rsid w:val="00543789"/>
    <w:rsid w:val="00543A8C"/>
    <w:rsid w:val="00543DA9"/>
    <w:rsid w:val="005441C1"/>
    <w:rsid w:val="00544229"/>
    <w:rsid w:val="00544CD9"/>
    <w:rsid w:val="00544F98"/>
    <w:rsid w:val="00545A2B"/>
    <w:rsid w:val="00545AAE"/>
    <w:rsid w:val="00550206"/>
    <w:rsid w:val="005536FE"/>
    <w:rsid w:val="0056059F"/>
    <w:rsid w:val="00561A2C"/>
    <w:rsid w:val="00561C43"/>
    <w:rsid w:val="005635CE"/>
    <w:rsid w:val="00564F81"/>
    <w:rsid w:val="005666CB"/>
    <w:rsid w:val="00567195"/>
    <w:rsid w:val="00567DDA"/>
    <w:rsid w:val="00571195"/>
    <w:rsid w:val="00572EBD"/>
    <w:rsid w:val="0057490C"/>
    <w:rsid w:val="00574D6C"/>
    <w:rsid w:val="00576883"/>
    <w:rsid w:val="005778CA"/>
    <w:rsid w:val="00581703"/>
    <w:rsid w:val="00583D80"/>
    <w:rsid w:val="00584A3A"/>
    <w:rsid w:val="00585AB3"/>
    <w:rsid w:val="00585ADB"/>
    <w:rsid w:val="005869B9"/>
    <w:rsid w:val="00587364"/>
    <w:rsid w:val="00590B12"/>
    <w:rsid w:val="005913A2"/>
    <w:rsid w:val="005921E3"/>
    <w:rsid w:val="00592E40"/>
    <w:rsid w:val="00593665"/>
    <w:rsid w:val="005946E7"/>
    <w:rsid w:val="00595364"/>
    <w:rsid w:val="00595FD3"/>
    <w:rsid w:val="0059692E"/>
    <w:rsid w:val="005A0B91"/>
    <w:rsid w:val="005A0E65"/>
    <w:rsid w:val="005A1326"/>
    <w:rsid w:val="005A691E"/>
    <w:rsid w:val="005A7F73"/>
    <w:rsid w:val="005B3AB2"/>
    <w:rsid w:val="005B4618"/>
    <w:rsid w:val="005B52F3"/>
    <w:rsid w:val="005B5B49"/>
    <w:rsid w:val="005B5BE8"/>
    <w:rsid w:val="005C17B2"/>
    <w:rsid w:val="005C391A"/>
    <w:rsid w:val="005C5144"/>
    <w:rsid w:val="005C5D96"/>
    <w:rsid w:val="005D0E43"/>
    <w:rsid w:val="005D196A"/>
    <w:rsid w:val="005D2348"/>
    <w:rsid w:val="005D2B14"/>
    <w:rsid w:val="005D3DA4"/>
    <w:rsid w:val="005D404B"/>
    <w:rsid w:val="005D473D"/>
    <w:rsid w:val="005D5F43"/>
    <w:rsid w:val="005D64B0"/>
    <w:rsid w:val="005D74C0"/>
    <w:rsid w:val="005D7E16"/>
    <w:rsid w:val="005E2A55"/>
    <w:rsid w:val="005E374F"/>
    <w:rsid w:val="005E49D2"/>
    <w:rsid w:val="005E4A98"/>
    <w:rsid w:val="005E6075"/>
    <w:rsid w:val="005E65C5"/>
    <w:rsid w:val="005E69D8"/>
    <w:rsid w:val="005E7A90"/>
    <w:rsid w:val="005F18E4"/>
    <w:rsid w:val="005F1B30"/>
    <w:rsid w:val="005F2C40"/>
    <w:rsid w:val="005F2DDD"/>
    <w:rsid w:val="005F2E43"/>
    <w:rsid w:val="005F4C9E"/>
    <w:rsid w:val="005F5447"/>
    <w:rsid w:val="005F5C1B"/>
    <w:rsid w:val="005F5C6E"/>
    <w:rsid w:val="005F601A"/>
    <w:rsid w:val="005F64D3"/>
    <w:rsid w:val="005F6F9B"/>
    <w:rsid w:val="00600977"/>
    <w:rsid w:val="006022B7"/>
    <w:rsid w:val="00602CBB"/>
    <w:rsid w:val="00602E1D"/>
    <w:rsid w:val="0060374E"/>
    <w:rsid w:val="00604B1E"/>
    <w:rsid w:val="0060511F"/>
    <w:rsid w:val="00606649"/>
    <w:rsid w:val="00607C56"/>
    <w:rsid w:val="006129B4"/>
    <w:rsid w:val="006129B5"/>
    <w:rsid w:val="00612DEB"/>
    <w:rsid w:val="00613557"/>
    <w:rsid w:val="006142B1"/>
    <w:rsid w:val="006155FA"/>
    <w:rsid w:val="006177C0"/>
    <w:rsid w:val="00622D58"/>
    <w:rsid w:val="0062487D"/>
    <w:rsid w:val="006249F4"/>
    <w:rsid w:val="006346CB"/>
    <w:rsid w:val="00634DF1"/>
    <w:rsid w:val="00634EF5"/>
    <w:rsid w:val="00642D50"/>
    <w:rsid w:val="00642F4A"/>
    <w:rsid w:val="006445A2"/>
    <w:rsid w:val="006466BA"/>
    <w:rsid w:val="00646B5C"/>
    <w:rsid w:val="00646FA5"/>
    <w:rsid w:val="0064704D"/>
    <w:rsid w:val="006503E7"/>
    <w:rsid w:val="00651C82"/>
    <w:rsid w:val="00652378"/>
    <w:rsid w:val="00652B86"/>
    <w:rsid w:val="0065330C"/>
    <w:rsid w:val="00653568"/>
    <w:rsid w:val="00654217"/>
    <w:rsid w:val="00654981"/>
    <w:rsid w:val="00654F3F"/>
    <w:rsid w:val="00660E2C"/>
    <w:rsid w:val="00661C78"/>
    <w:rsid w:val="00661F06"/>
    <w:rsid w:val="00663420"/>
    <w:rsid w:val="006639F1"/>
    <w:rsid w:val="00664D5A"/>
    <w:rsid w:val="00664E82"/>
    <w:rsid w:val="0066616B"/>
    <w:rsid w:val="006668F8"/>
    <w:rsid w:val="00666E86"/>
    <w:rsid w:val="00666FF2"/>
    <w:rsid w:val="006674FC"/>
    <w:rsid w:val="00671A81"/>
    <w:rsid w:val="00673A17"/>
    <w:rsid w:val="00673F07"/>
    <w:rsid w:val="00675E4F"/>
    <w:rsid w:val="00676A43"/>
    <w:rsid w:val="006770C6"/>
    <w:rsid w:val="00685880"/>
    <w:rsid w:val="006861E7"/>
    <w:rsid w:val="00686721"/>
    <w:rsid w:val="00692D1C"/>
    <w:rsid w:val="006A1D96"/>
    <w:rsid w:val="006A21ED"/>
    <w:rsid w:val="006A2F65"/>
    <w:rsid w:val="006A3F8C"/>
    <w:rsid w:val="006A55A2"/>
    <w:rsid w:val="006A6470"/>
    <w:rsid w:val="006A68F3"/>
    <w:rsid w:val="006A69FD"/>
    <w:rsid w:val="006A6A08"/>
    <w:rsid w:val="006A724D"/>
    <w:rsid w:val="006A786F"/>
    <w:rsid w:val="006A7D3D"/>
    <w:rsid w:val="006B2A77"/>
    <w:rsid w:val="006B4904"/>
    <w:rsid w:val="006B4932"/>
    <w:rsid w:val="006B659F"/>
    <w:rsid w:val="006B7149"/>
    <w:rsid w:val="006B74FD"/>
    <w:rsid w:val="006C1325"/>
    <w:rsid w:val="006C1384"/>
    <w:rsid w:val="006C2A75"/>
    <w:rsid w:val="006C3D7C"/>
    <w:rsid w:val="006C4D2B"/>
    <w:rsid w:val="006C6979"/>
    <w:rsid w:val="006D018F"/>
    <w:rsid w:val="006D01D1"/>
    <w:rsid w:val="006D05E2"/>
    <w:rsid w:val="006D2610"/>
    <w:rsid w:val="006D2ADC"/>
    <w:rsid w:val="006D3753"/>
    <w:rsid w:val="006D40A0"/>
    <w:rsid w:val="006D41A5"/>
    <w:rsid w:val="006D4A3D"/>
    <w:rsid w:val="006D5B47"/>
    <w:rsid w:val="006D7F95"/>
    <w:rsid w:val="006E000A"/>
    <w:rsid w:val="006E020D"/>
    <w:rsid w:val="006E1529"/>
    <w:rsid w:val="006E168E"/>
    <w:rsid w:val="006E2142"/>
    <w:rsid w:val="006E23D2"/>
    <w:rsid w:val="006E3759"/>
    <w:rsid w:val="006E472A"/>
    <w:rsid w:val="006E4BC0"/>
    <w:rsid w:val="006F0400"/>
    <w:rsid w:val="006F08D2"/>
    <w:rsid w:val="006F0E47"/>
    <w:rsid w:val="006F1C31"/>
    <w:rsid w:val="006F1D9C"/>
    <w:rsid w:val="006F23D3"/>
    <w:rsid w:val="006F24D2"/>
    <w:rsid w:val="006F2C20"/>
    <w:rsid w:val="006F67B7"/>
    <w:rsid w:val="00701E03"/>
    <w:rsid w:val="0070224F"/>
    <w:rsid w:val="00702A3F"/>
    <w:rsid w:val="00703AC6"/>
    <w:rsid w:val="00704A23"/>
    <w:rsid w:val="00706216"/>
    <w:rsid w:val="0070768E"/>
    <w:rsid w:val="00710386"/>
    <w:rsid w:val="00711076"/>
    <w:rsid w:val="0071229E"/>
    <w:rsid w:val="00712328"/>
    <w:rsid w:val="00712BFC"/>
    <w:rsid w:val="00715EDD"/>
    <w:rsid w:val="00716543"/>
    <w:rsid w:val="00716A03"/>
    <w:rsid w:val="00717048"/>
    <w:rsid w:val="007174B9"/>
    <w:rsid w:val="00720E72"/>
    <w:rsid w:val="00722162"/>
    <w:rsid w:val="007251E3"/>
    <w:rsid w:val="00725A7B"/>
    <w:rsid w:val="0072684D"/>
    <w:rsid w:val="00726B4A"/>
    <w:rsid w:val="00726EBD"/>
    <w:rsid w:val="00731095"/>
    <w:rsid w:val="007359DF"/>
    <w:rsid w:val="007374DC"/>
    <w:rsid w:val="00743501"/>
    <w:rsid w:val="0074403E"/>
    <w:rsid w:val="00744759"/>
    <w:rsid w:val="00746F3B"/>
    <w:rsid w:val="00747FFE"/>
    <w:rsid w:val="00750523"/>
    <w:rsid w:val="007531DD"/>
    <w:rsid w:val="007607FF"/>
    <w:rsid w:val="0076087C"/>
    <w:rsid w:val="007614F2"/>
    <w:rsid w:val="0076163C"/>
    <w:rsid w:val="007620FC"/>
    <w:rsid w:val="007628BB"/>
    <w:rsid w:val="007636A0"/>
    <w:rsid w:val="00763C59"/>
    <w:rsid w:val="00763EEA"/>
    <w:rsid w:val="00765761"/>
    <w:rsid w:val="00766392"/>
    <w:rsid w:val="007714D1"/>
    <w:rsid w:val="00774775"/>
    <w:rsid w:val="00775907"/>
    <w:rsid w:val="00776140"/>
    <w:rsid w:val="00776D62"/>
    <w:rsid w:val="00777CFF"/>
    <w:rsid w:val="0078166F"/>
    <w:rsid w:val="00782FCD"/>
    <w:rsid w:val="00783EBB"/>
    <w:rsid w:val="0078486D"/>
    <w:rsid w:val="007862F5"/>
    <w:rsid w:val="00786C29"/>
    <w:rsid w:val="007904D7"/>
    <w:rsid w:val="00790989"/>
    <w:rsid w:val="0079251F"/>
    <w:rsid w:val="007928E7"/>
    <w:rsid w:val="00793B55"/>
    <w:rsid w:val="00794E55"/>
    <w:rsid w:val="00797A5C"/>
    <w:rsid w:val="007A0090"/>
    <w:rsid w:val="007A02C8"/>
    <w:rsid w:val="007A419B"/>
    <w:rsid w:val="007A4973"/>
    <w:rsid w:val="007A4FC1"/>
    <w:rsid w:val="007A50E1"/>
    <w:rsid w:val="007A52D3"/>
    <w:rsid w:val="007A539D"/>
    <w:rsid w:val="007A5B9B"/>
    <w:rsid w:val="007A6DFB"/>
    <w:rsid w:val="007B289B"/>
    <w:rsid w:val="007B2C5D"/>
    <w:rsid w:val="007B37EF"/>
    <w:rsid w:val="007B3D81"/>
    <w:rsid w:val="007C05C9"/>
    <w:rsid w:val="007C0960"/>
    <w:rsid w:val="007C72FC"/>
    <w:rsid w:val="007D1EB6"/>
    <w:rsid w:val="007E2EDE"/>
    <w:rsid w:val="007E4778"/>
    <w:rsid w:val="007E4D10"/>
    <w:rsid w:val="007E4E30"/>
    <w:rsid w:val="007E6A8C"/>
    <w:rsid w:val="007E7358"/>
    <w:rsid w:val="007E73DB"/>
    <w:rsid w:val="007E74C2"/>
    <w:rsid w:val="007E7A3E"/>
    <w:rsid w:val="007F0BD1"/>
    <w:rsid w:val="007F1EAB"/>
    <w:rsid w:val="007F3F8C"/>
    <w:rsid w:val="007F532B"/>
    <w:rsid w:val="007F5924"/>
    <w:rsid w:val="008003FD"/>
    <w:rsid w:val="0080080D"/>
    <w:rsid w:val="00800EEC"/>
    <w:rsid w:val="00802DB4"/>
    <w:rsid w:val="008030F3"/>
    <w:rsid w:val="00805AD0"/>
    <w:rsid w:val="008071EE"/>
    <w:rsid w:val="008072AF"/>
    <w:rsid w:val="0081069D"/>
    <w:rsid w:val="00813578"/>
    <w:rsid w:val="00814E03"/>
    <w:rsid w:val="00815061"/>
    <w:rsid w:val="0081506D"/>
    <w:rsid w:val="008152D5"/>
    <w:rsid w:val="008159C8"/>
    <w:rsid w:val="008171CA"/>
    <w:rsid w:val="0082002E"/>
    <w:rsid w:val="008208FD"/>
    <w:rsid w:val="00822ED6"/>
    <w:rsid w:val="00823C0D"/>
    <w:rsid w:val="00825D7F"/>
    <w:rsid w:val="00826055"/>
    <w:rsid w:val="00826EAE"/>
    <w:rsid w:val="00826FE0"/>
    <w:rsid w:val="00832E38"/>
    <w:rsid w:val="008343EA"/>
    <w:rsid w:val="008372BD"/>
    <w:rsid w:val="00841D70"/>
    <w:rsid w:val="00842F50"/>
    <w:rsid w:val="008432DC"/>
    <w:rsid w:val="00843404"/>
    <w:rsid w:val="00843463"/>
    <w:rsid w:val="00844CEA"/>
    <w:rsid w:val="00844EAF"/>
    <w:rsid w:val="008459DE"/>
    <w:rsid w:val="00845D61"/>
    <w:rsid w:val="00847991"/>
    <w:rsid w:val="0085125D"/>
    <w:rsid w:val="00851764"/>
    <w:rsid w:val="00851C85"/>
    <w:rsid w:val="008547F0"/>
    <w:rsid w:val="0085569D"/>
    <w:rsid w:val="00855C32"/>
    <w:rsid w:val="00856645"/>
    <w:rsid w:val="008566E1"/>
    <w:rsid w:val="00856F43"/>
    <w:rsid w:val="008606B7"/>
    <w:rsid w:val="008609FD"/>
    <w:rsid w:val="008610B9"/>
    <w:rsid w:val="00863F07"/>
    <w:rsid w:val="00864AA3"/>
    <w:rsid w:val="0086588E"/>
    <w:rsid w:val="00866C59"/>
    <w:rsid w:val="00870E81"/>
    <w:rsid w:val="00872F3C"/>
    <w:rsid w:val="00872F91"/>
    <w:rsid w:val="00874152"/>
    <w:rsid w:val="008748EF"/>
    <w:rsid w:val="008751A9"/>
    <w:rsid w:val="00875A01"/>
    <w:rsid w:val="00875BD4"/>
    <w:rsid w:val="00875E76"/>
    <w:rsid w:val="0087748B"/>
    <w:rsid w:val="00877963"/>
    <w:rsid w:val="00877F3A"/>
    <w:rsid w:val="008821BE"/>
    <w:rsid w:val="008827F6"/>
    <w:rsid w:val="00882BF6"/>
    <w:rsid w:val="00883AEB"/>
    <w:rsid w:val="00883F60"/>
    <w:rsid w:val="008843B0"/>
    <w:rsid w:val="00884464"/>
    <w:rsid w:val="00885445"/>
    <w:rsid w:val="00885DB1"/>
    <w:rsid w:val="00885F99"/>
    <w:rsid w:val="0089019D"/>
    <w:rsid w:val="008919F1"/>
    <w:rsid w:val="00892363"/>
    <w:rsid w:val="00893B95"/>
    <w:rsid w:val="0089463F"/>
    <w:rsid w:val="0089587F"/>
    <w:rsid w:val="0089672D"/>
    <w:rsid w:val="00896FC3"/>
    <w:rsid w:val="0089723C"/>
    <w:rsid w:val="008A00DA"/>
    <w:rsid w:val="008A1B40"/>
    <w:rsid w:val="008A2944"/>
    <w:rsid w:val="008A29BA"/>
    <w:rsid w:val="008A2E2C"/>
    <w:rsid w:val="008A3D67"/>
    <w:rsid w:val="008A4B81"/>
    <w:rsid w:val="008A4CA2"/>
    <w:rsid w:val="008A5178"/>
    <w:rsid w:val="008A5646"/>
    <w:rsid w:val="008A6014"/>
    <w:rsid w:val="008B291B"/>
    <w:rsid w:val="008B2AA0"/>
    <w:rsid w:val="008B42AB"/>
    <w:rsid w:val="008B4676"/>
    <w:rsid w:val="008B6C92"/>
    <w:rsid w:val="008C0873"/>
    <w:rsid w:val="008C0C54"/>
    <w:rsid w:val="008C131D"/>
    <w:rsid w:val="008C2972"/>
    <w:rsid w:val="008C38E2"/>
    <w:rsid w:val="008C4BAA"/>
    <w:rsid w:val="008C5576"/>
    <w:rsid w:val="008C597C"/>
    <w:rsid w:val="008C7D76"/>
    <w:rsid w:val="008D30F2"/>
    <w:rsid w:val="008D3C0A"/>
    <w:rsid w:val="008D3C55"/>
    <w:rsid w:val="008D608C"/>
    <w:rsid w:val="008D6B17"/>
    <w:rsid w:val="008D74BF"/>
    <w:rsid w:val="008D7D87"/>
    <w:rsid w:val="008E0166"/>
    <w:rsid w:val="008E03A0"/>
    <w:rsid w:val="008E05ED"/>
    <w:rsid w:val="008E2001"/>
    <w:rsid w:val="008E2616"/>
    <w:rsid w:val="008E3316"/>
    <w:rsid w:val="008E3322"/>
    <w:rsid w:val="008E46C7"/>
    <w:rsid w:val="008E65D4"/>
    <w:rsid w:val="008E6B1B"/>
    <w:rsid w:val="008F0544"/>
    <w:rsid w:val="008F0594"/>
    <w:rsid w:val="008F1514"/>
    <w:rsid w:val="008F5509"/>
    <w:rsid w:val="008F797F"/>
    <w:rsid w:val="00900F09"/>
    <w:rsid w:val="009017B8"/>
    <w:rsid w:val="00901B67"/>
    <w:rsid w:val="0090215C"/>
    <w:rsid w:val="009035A7"/>
    <w:rsid w:val="00905047"/>
    <w:rsid w:val="00905C16"/>
    <w:rsid w:val="00907AC4"/>
    <w:rsid w:val="00907EC4"/>
    <w:rsid w:val="009148D7"/>
    <w:rsid w:val="0091565C"/>
    <w:rsid w:val="00915697"/>
    <w:rsid w:val="009206A8"/>
    <w:rsid w:val="00920F27"/>
    <w:rsid w:val="009237C3"/>
    <w:rsid w:val="0092417B"/>
    <w:rsid w:val="00924560"/>
    <w:rsid w:val="00924C38"/>
    <w:rsid w:val="009253B6"/>
    <w:rsid w:val="00925761"/>
    <w:rsid w:val="009278C6"/>
    <w:rsid w:val="009309AF"/>
    <w:rsid w:val="00933A23"/>
    <w:rsid w:val="00933C5A"/>
    <w:rsid w:val="00937DE4"/>
    <w:rsid w:val="00940218"/>
    <w:rsid w:val="009407AC"/>
    <w:rsid w:val="00940BA3"/>
    <w:rsid w:val="00940EA3"/>
    <w:rsid w:val="00941640"/>
    <w:rsid w:val="00942B18"/>
    <w:rsid w:val="00943B28"/>
    <w:rsid w:val="00944091"/>
    <w:rsid w:val="009473AE"/>
    <w:rsid w:val="00950564"/>
    <w:rsid w:val="00950BA5"/>
    <w:rsid w:val="00951563"/>
    <w:rsid w:val="00956858"/>
    <w:rsid w:val="00957133"/>
    <w:rsid w:val="00960F9D"/>
    <w:rsid w:val="00961076"/>
    <w:rsid w:val="0096131A"/>
    <w:rsid w:val="00962E4E"/>
    <w:rsid w:val="00963CAD"/>
    <w:rsid w:val="00963F99"/>
    <w:rsid w:val="00965420"/>
    <w:rsid w:val="009658B2"/>
    <w:rsid w:val="009664F7"/>
    <w:rsid w:val="009673AE"/>
    <w:rsid w:val="009675C1"/>
    <w:rsid w:val="00970EDC"/>
    <w:rsid w:val="00973C5B"/>
    <w:rsid w:val="009755FB"/>
    <w:rsid w:val="00975C38"/>
    <w:rsid w:val="009766F4"/>
    <w:rsid w:val="0097788B"/>
    <w:rsid w:val="00980C80"/>
    <w:rsid w:val="00981A4C"/>
    <w:rsid w:val="00981ED9"/>
    <w:rsid w:val="00982554"/>
    <w:rsid w:val="009844FE"/>
    <w:rsid w:val="00985CC1"/>
    <w:rsid w:val="00986751"/>
    <w:rsid w:val="00987593"/>
    <w:rsid w:val="009876AE"/>
    <w:rsid w:val="009910C1"/>
    <w:rsid w:val="00991D33"/>
    <w:rsid w:val="00992BA8"/>
    <w:rsid w:val="009930CE"/>
    <w:rsid w:val="00993690"/>
    <w:rsid w:val="00994C4C"/>
    <w:rsid w:val="0099588D"/>
    <w:rsid w:val="00995A54"/>
    <w:rsid w:val="00995EB0"/>
    <w:rsid w:val="00995F38"/>
    <w:rsid w:val="00996A5B"/>
    <w:rsid w:val="009A2163"/>
    <w:rsid w:val="009A35D4"/>
    <w:rsid w:val="009A4354"/>
    <w:rsid w:val="009A5F90"/>
    <w:rsid w:val="009A62F2"/>
    <w:rsid w:val="009A6847"/>
    <w:rsid w:val="009A6947"/>
    <w:rsid w:val="009A7305"/>
    <w:rsid w:val="009A74E5"/>
    <w:rsid w:val="009B0C6D"/>
    <w:rsid w:val="009B33D5"/>
    <w:rsid w:val="009B42B0"/>
    <w:rsid w:val="009B4419"/>
    <w:rsid w:val="009B565F"/>
    <w:rsid w:val="009B66F5"/>
    <w:rsid w:val="009B73C4"/>
    <w:rsid w:val="009B7C71"/>
    <w:rsid w:val="009C06EA"/>
    <w:rsid w:val="009C0856"/>
    <w:rsid w:val="009C17AF"/>
    <w:rsid w:val="009C2858"/>
    <w:rsid w:val="009C2B8E"/>
    <w:rsid w:val="009C2BE8"/>
    <w:rsid w:val="009C4591"/>
    <w:rsid w:val="009C470B"/>
    <w:rsid w:val="009C4716"/>
    <w:rsid w:val="009C51FE"/>
    <w:rsid w:val="009C542A"/>
    <w:rsid w:val="009C58C6"/>
    <w:rsid w:val="009C5B3B"/>
    <w:rsid w:val="009C5EE7"/>
    <w:rsid w:val="009C6D69"/>
    <w:rsid w:val="009C72D5"/>
    <w:rsid w:val="009C7B75"/>
    <w:rsid w:val="009C7CC7"/>
    <w:rsid w:val="009D00D4"/>
    <w:rsid w:val="009D02EB"/>
    <w:rsid w:val="009D34B1"/>
    <w:rsid w:val="009D40A4"/>
    <w:rsid w:val="009D6CC4"/>
    <w:rsid w:val="009E2A5E"/>
    <w:rsid w:val="009E33D1"/>
    <w:rsid w:val="009E3DAA"/>
    <w:rsid w:val="009E3DE7"/>
    <w:rsid w:val="009E492C"/>
    <w:rsid w:val="009E4AF6"/>
    <w:rsid w:val="009E5054"/>
    <w:rsid w:val="009E5FAD"/>
    <w:rsid w:val="009F0EE4"/>
    <w:rsid w:val="009F13E7"/>
    <w:rsid w:val="009F2A97"/>
    <w:rsid w:val="009F666A"/>
    <w:rsid w:val="00A001BF"/>
    <w:rsid w:val="00A00CD2"/>
    <w:rsid w:val="00A019BF"/>
    <w:rsid w:val="00A019ED"/>
    <w:rsid w:val="00A02094"/>
    <w:rsid w:val="00A06275"/>
    <w:rsid w:val="00A0695B"/>
    <w:rsid w:val="00A0703D"/>
    <w:rsid w:val="00A10D00"/>
    <w:rsid w:val="00A11000"/>
    <w:rsid w:val="00A122BA"/>
    <w:rsid w:val="00A12E31"/>
    <w:rsid w:val="00A13634"/>
    <w:rsid w:val="00A13C30"/>
    <w:rsid w:val="00A13EEF"/>
    <w:rsid w:val="00A14116"/>
    <w:rsid w:val="00A142B0"/>
    <w:rsid w:val="00A15880"/>
    <w:rsid w:val="00A16834"/>
    <w:rsid w:val="00A16DED"/>
    <w:rsid w:val="00A16F62"/>
    <w:rsid w:val="00A17C02"/>
    <w:rsid w:val="00A216F4"/>
    <w:rsid w:val="00A21D7C"/>
    <w:rsid w:val="00A22560"/>
    <w:rsid w:val="00A22928"/>
    <w:rsid w:val="00A22AF7"/>
    <w:rsid w:val="00A25292"/>
    <w:rsid w:val="00A27BD8"/>
    <w:rsid w:val="00A30B80"/>
    <w:rsid w:val="00A32BF1"/>
    <w:rsid w:val="00A3349A"/>
    <w:rsid w:val="00A33CA2"/>
    <w:rsid w:val="00A34B25"/>
    <w:rsid w:val="00A35399"/>
    <w:rsid w:val="00A35B85"/>
    <w:rsid w:val="00A36DFB"/>
    <w:rsid w:val="00A3755B"/>
    <w:rsid w:val="00A410C5"/>
    <w:rsid w:val="00A437D3"/>
    <w:rsid w:val="00A4492C"/>
    <w:rsid w:val="00A44971"/>
    <w:rsid w:val="00A450AA"/>
    <w:rsid w:val="00A45688"/>
    <w:rsid w:val="00A45E15"/>
    <w:rsid w:val="00A46437"/>
    <w:rsid w:val="00A4717E"/>
    <w:rsid w:val="00A4783F"/>
    <w:rsid w:val="00A50B25"/>
    <w:rsid w:val="00A51A7C"/>
    <w:rsid w:val="00A53AEF"/>
    <w:rsid w:val="00A6209D"/>
    <w:rsid w:val="00A621D3"/>
    <w:rsid w:val="00A6370C"/>
    <w:rsid w:val="00A63BD5"/>
    <w:rsid w:val="00A65890"/>
    <w:rsid w:val="00A65E82"/>
    <w:rsid w:val="00A6633E"/>
    <w:rsid w:val="00A673C8"/>
    <w:rsid w:val="00A70884"/>
    <w:rsid w:val="00A711F8"/>
    <w:rsid w:val="00A7348B"/>
    <w:rsid w:val="00A74B04"/>
    <w:rsid w:val="00A80756"/>
    <w:rsid w:val="00A81F69"/>
    <w:rsid w:val="00A84C1A"/>
    <w:rsid w:val="00A85051"/>
    <w:rsid w:val="00A85AE2"/>
    <w:rsid w:val="00A8699A"/>
    <w:rsid w:val="00A876CF"/>
    <w:rsid w:val="00A90A58"/>
    <w:rsid w:val="00A90BD3"/>
    <w:rsid w:val="00A92421"/>
    <w:rsid w:val="00A937E2"/>
    <w:rsid w:val="00A96966"/>
    <w:rsid w:val="00A96DA3"/>
    <w:rsid w:val="00A96FD6"/>
    <w:rsid w:val="00AA0946"/>
    <w:rsid w:val="00AA0C49"/>
    <w:rsid w:val="00AA24A7"/>
    <w:rsid w:val="00AA2E3F"/>
    <w:rsid w:val="00AA4E07"/>
    <w:rsid w:val="00AA5A29"/>
    <w:rsid w:val="00AA7FBE"/>
    <w:rsid w:val="00AB0156"/>
    <w:rsid w:val="00AB2947"/>
    <w:rsid w:val="00AB2A43"/>
    <w:rsid w:val="00AB3AB4"/>
    <w:rsid w:val="00AB4017"/>
    <w:rsid w:val="00AB439B"/>
    <w:rsid w:val="00AB4D90"/>
    <w:rsid w:val="00AB608C"/>
    <w:rsid w:val="00AB6328"/>
    <w:rsid w:val="00AC02A3"/>
    <w:rsid w:val="00AC08DC"/>
    <w:rsid w:val="00AC1844"/>
    <w:rsid w:val="00AC4164"/>
    <w:rsid w:val="00AC4A68"/>
    <w:rsid w:val="00AC5317"/>
    <w:rsid w:val="00AC5BF7"/>
    <w:rsid w:val="00AC677A"/>
    <w:rsid w:val="00AD0444"/>
    <w:rsid w:val="00AD0679"/>
    <w:rsid w:val="00AD12E1"/>
    <w:rsid w:val="00AD18E7"/>
    <w:rsid w:val="00AD23A5"/>
    <w:rsid w:val="00AD3D67"/>
    <w:rsid w:val="00AD53AE"/>
    <w:rsid w:val="00AD5F70"/>
    <w:rsid w:val="00AD7A3C"/>
    <w:rsid w:val="00AD7EF5"/>
    <w:rsid w:val="00AE0B16"/>
    <w:rsid w:val="00AE2625"/>
    <w:rsid w:val="00AE29AA"/>
    <w:rsid w:val="00AE3EAA"/>
    <w:rsid w:val="00AE3FD4"/>
    <w:rsid w:val="00AE4E57"/>
    <w:rsid w:val="00AF0063"/>
    <w:rsid w:val="00AF06F6"/>
    <w:rsid w:val="00AF3767"/>
    <w:rsid w:val="00AF3F62"/>
    <w:rsid w:val="00AF42D3"/>
    <w:rsid w:val="00AF611F"/>
    <w:rsid w:val="00B008E0"/>
    <w:rsid w:val="00B01792"/>
    <w:rsid w:val="00B031F9"/>
    <w:rsid w:val="00B04358"/>
    <w:rsid w:val="00B05BDE"/>
    <w:rsid w:val="00B06BD6"/>
    <w:rsid w:val="00B07666"/>
    <w:rsid w:val="00B07CDC"/>
    <w:rsid w:val="00B112B7"/>
    <w:rsid w:val="00B11A9C"/>
    <w:rsid w:val="00B12640"/>
    <w:rsid w:val="00B13432"/>
    <w:rsid w:val="00B152BD"/>
    <w:rsid w:val="00B157D5"/>
    <w:rsid w:val="00B16C48"/>
    <w:rsid w:val="00B2152A"/>
    <w:rsid w:val="00B22025"/>
    <w:rsid w:val="00B224C1"/>
    <w:rsid w:val="00B24E73"/>
    <w:rsid w:val="00B25B30"/>
    <w:rsid w:val="00B266CE"/>
    <w:rsid w:val="00B27054"/>
    <w:rsid w:val="00B27075"/>
    <w:rsid w:val="00B277BC"/>
    <w:rsid w:val="00B30871"/>
    <w:rsid w:val="00B30DD4"/>
    <w:rsid w:val="00B33203"/>
    <w:rsid w:val="00B33919"/>
    <w:rsid w:val="00B35750"/>
    <w:rsid w:val="00B3798A"/>
    <w:rsid w:val="00B40043"/>
    <w:rsid w:val="00B40CDD"/>
    <w:rsid w:val="00B416AF"/>
    <w:rsid w:val="00B41CC9"/>
    <w:rsid w:val="00B43373"/>
    <w:rsid w:val="00B445AE"/>
    <w:rsid w:val="00B44D27"/>
    <w:rsid w:val="00B46DF6"/>
    <w:rsid w:val="00B478A5"/>
    <w:rsid w:val="00B50907"/>
    <w:rsid w:val="00B51116"/>
    <w:rsid w:val="00B51C69"/>
    <w:rsid w:val="00B52262"/>
    <w:rsid w:val="00B54CAA"/>
    <w:rsid w:val="00B557BF"/>
    <w:rsid w:val="00B55E7E"/>
    <w:rsid w:val="00B5655D"/>
    <w:rsid w:val="00B568CA"/>
    <w:rsid w:val="00B57251"/>
    <w:rsid w:val="00B574CF"/>
    <w:rsid w:val="00B614C6"/>
    <w:rsid w:val="00B64BC3"/>
    <w:rsid w:val="00B64F20"/>
    <w:rsid w:val="00B70937"/>
    <w:rsid w:val="00B70B0A"/>
    <w:rsid w:val="00B7105E"/>
    <w:rsid w:val="00B713D7"/>
    <w:rsid w:val="00B72261"/>
    <w:rsid w:val="00B72567"/>
    <w:rsid w:val="00B725A1"/>
    <w:rsid w:val="00B72E20"/>
    <w:rsid w:val="00B73485"/>
    <w:rsid w:val="00B75692"/>
    <w:rsid w:val="00B76442"/>
    <w:rsid w:val="00B76548"/>
    <w:rsid w:val="00B8033C"/>
    <w:rsid w:val="00B81AC5"/>
    <w:rsid w:val="00B821F0"/>
    <w:rsid w:val="00B82360"/>
    <w:rsid w:val="00B847FA"/>
    <w:rsid w:val="00B85724"/>
    <w:rsid w:val="00B86D5A"/>
    <w:rsid w:val="00B87893"/>
    <w:rsid w:val="00B87BA8"/>
    <w:rsid w:val="00B87CFD"/>
    <w:rsid w:val="00B87FDF"/>
    <w:rsid w:val="00B901E8"/>
    <w:rsid w:val="00B909C1"/>
    <w:rsid w:val="00B91859"/>
    <w:rsid w:val="00B91EC8"/>
    <w:rsid w:val="00B92079"/>
    <w:rsid w:val="00B92855"/>
    <w:rsid w:val="00B933AE"/>
    <w:rsid w:val="00B934BF"/>
    <w:rsid w:val="00B95EBF"/>
    <w:rsid w:val="00B95F74"/>
    <w:rsid w:val="00B962C6"/>
    <w:rsid w:val="00B96965"/>
    <w:rsid w:val="00B970F5"/>
    <w:rsid w:val="00B97CA0"/>
    <w:rsid w:val="00BA08D8"/>
    <w:rsid w:val="00BA09E0"/>
    <w:rsid w:val="00BA0F8A"/>
    <w:rsid w:val="00BA126E"/>
    <w:rsid w:val="00BA4B78"/>
    <w:rsid w:val="00BA5375"/>
    <w:rsid w:val="00BB063A"/>
    <w:rsid w:val="00BB1891"/>
    <w:rsid w:val="00BB49B6"/>
    <w:rsid w:val="00BB4C5B"/>
    <w:rsid w:val="00BB71D6"/>
    <w:rsid w:val="00BC03B2"/>
    <w:rsid w:val="00BC1C49"/>
    <w:rsid w:val="00BC20F3"/>
    <w:rsid w:val="00BC2BE1"/>
    <w:rsid w:val="00BC4DE0"/>
    <w:rsid w:val="00BC535E"/>
    <w:rsid w:val="00BD06A6"/>
    <w:rsid w:val="00BD2B61"/>
    <w:rsid w:val="00BD2E8D"/>
    <w:rsid w:val="00BD4242"/>
    <w:rsid w:val="00BD4585"/>
    <w:rsid w:val="00BD47BD"/>
    <w:rsid w:val="00BD4845"/>
    <w:rsid w:val="00BD5C8C"/>
    <w:rsid w:val="00BD6EF6"/>
    <w:rsid w:val="00BE1400"/>
    <w:rsid w:val="00BE3CE7"/>
    <w:rsid w:val="00BE5B93"/>
    <w:rsid w:val="00BE5D6D"/>
    <w:rsid w:val="00BF0DC5"/>
    <w:rsid w:val="00BF1D0C"/>
    <w:rsid w:val="00BF3BC5"/>
    <w:rsid w:val="00BF4222"/>
    <w:rsid w:val="00BF54D7"/>
    <w:rsid w:val="00BF5662"/>
    <w:rsid w:val="00BF5F7D"/>
    <w:rsid w:val="00BF7CC8"/>
    <w:rsid w:val="00C0067C"/>
    <w:rsid w:val="00C026BF"/>
    <w:rsid w:val="00C036F6"/>
    <w:rsid w:val="00C044C5"/>
    <w:rsid w:val="00C04C5F"/>
    <w:rsid w:val="00C057EF"/>
    <w:rsid w:val="00C05BDB"/>
    <w:rsid w:val="00C07625"/>
    <w:rsid w:val="00C1004B"/>
    <w:rsid w:val="00C14EC0"/>
    <w:rsid w:val="00C1582A"/>
    <w:rsid w:val="00C17518"/>
    <w:rsid w:val="00C20385"/>
    <w:rsid w:val="00C21738"/>
    <w:rsid w:val="00C249C9"/>
    <w:rsid w:val="00C24DA3"/>
    <w:rsid w:val="00C25749"/>
    <w:rsid w:val="00C26B3D"/>
    <w:rsid w:val="00C26C1B"/>
    <w:rsid w:val="00C2788C"/>
    <w:rsid w:val="00C27DC0"/>
    <w:rsid w:val="00C30892"/>
    <w:rsid w:val="00C30D86"/>
    <w:rsid w:val="00C32579"/>
    <w:rsid w:val="00C326AC"/>
    <w:rsid w:val="00C34171"/>
    <w:rsid w:val="00C343A3"/>
    <w:rsid w:val="00C36178"/>
    <w:rsid w:val="00C3665B"/>
    <w:rsid w:val="00C4016E"/>
    <w:rsid w:val="00C41D78"/>
    <w:rsid w:val="00C43C54"/>
    <w:rsid w:val="00C465E5"/>
    <w:rsid w:val="00C47294"/>
    <w:rsid w:val="00C502B0"/>
    <w:rsid w:val="00C50C13"/>
    <w:rsid w:val="00C51CB9"/>
    <w:rsid w:val="00C5465F"/>
    <w:rsid w:val="00C54B00"/>
    <w:rsid w:val="00C55E47"/>
    <w:rsid w:val="00C56E12"/>
    <w:rsid w:val="00C60020"/>
    <w:rsid w:val="00C63072"/>
    <w:rsid w:val="00C6308A"/>
    <w:rsid w:val="00C64737"/>
    <w:rsid w:val="00C64E05"/>
    <w:rsid w:val="00C6627B"/>
    <w:rsid w:val="00C66B33"/>
    <w:rsid w:val="00C70479"/>
    <w:rsid w:val="00C7091B"/>
    <w:rsid w:val="00C72389"/>
    <w:rsid w:val="00C73C45"/>
    <w:rsid w:val="00C75403"/>
    <w:rsid w:val="00C80137"/>
    <w:rsid w:val="00C82518"/>
    <w:rsid w:val="00C82A5C"/>
    <w:rsid w:val="00C83897"/>
    <w:rsid w:val="00C83EBE"/>
    <w:rsid w:val="00C85F75"/>
    <w:rsid w:val="00C90126"/>
    <w:rsid w:val="00C9060C"/>
    <w:rsid w:val="00C91D2E"/>
    <w:rsid w:val="00C929CD"/>
    <w:rsid w:val="00C946F7"/>
    <w:rsid w:val="00C956E5"/>
    <w:rsid w:val="00C95DE5"/>
    <w:rsid w:val="00C96837"/>
    <w:rsid w:val="00CA01BC"/>
    <w:rsid w:val="00CA0E1F"/>
    <w:rsid w:val="00CA0E5E"/>
    <w:rsid w:val="00CA0EB8"/>
    <w:rsid w:val="00CA2FA5"/>
    <w:rsid w:val="00CA3541"/>
    <w:rsid w:val="00CA35BC"/>
    <w:rsid w:val="00CA4BCF"/>
    <w:rsid w:val="00CA7FB3"/>
    <w:rsid w:val="00CA7FC5"/>
    <w:rsid w:val="00CB02B1"/>
    <w:rsid w:val="00CB0D6C"/>
    <w:rsid w:val="00CB2B31"/>
    <w:rsid w:val="00CB37B3"/>
    <w:rsid w:val="00CB7BF5"/>
    <w:rsid w:val="00CB7FC5"/>
    <w:rsid w:val="00CC0FB9"/>
    <w:rsid w:val="00CC1100"/>
    <w:rsid w:val="00CC2EDF"/>
    <w:rsid w:val="00CC439C"/>
    <w:rsid w:val="00CC47D6"/>
    <w:rsid w:val="00CD01FB"/>
    <w:rsid w:val="00CD2ADF"/>
    <w:rsid w:val="00CD4154"/>
    <w:rsid w:val="00CD500E"/>
    <w:rsid w:val="00CD5C5D"/>
    <w:rsid w:val="00CD663E"/>
    <w:rsid w:val="00CD6F3E"/>
    <w:rsid w:val="00CD7BC8"/>
    <w:rsid w:val="00CE0AB4"/>
    <w:rsid w:val="00CE1041"/>
    <w:rsid w:val="00CE10B6"/>
    <w:rsid w:val="00CE17D6"/>
    <w:rsid w:val="00CE20D1"/>
    <w:rsid w:val="00CE4765"/>
    <w:rsid w:val="00CE4E66"/>
    <w:rsid w:val="00CE7EE7"/>
    <w:rsid w:val="00CF0F48"/>
    <w:rsid w:val="00CF1097"/>
    <w:rsid w:val="00CF114A"/>
    <w:rsid w:val="00CF2614"/>
    <w:rsid w:val="00CF2698"/>
    <w:rsid w:val="00CF52AD"/>
    <w:rsid w:val="00CF7D8C"/>
    <w:rsid w:val="00D0149B"/>
    <w:rsid w:val="00D065C8"/>
    <w:rsid w:val="00D06D49"/>
    <w:rsid w:val="00D06F64"/>
    <w:rsid w:val="00D10C9B"/>
    <w:rsid w:val="00D11331"/>
    <w:rsid w:val="00D1174E"/>
    <w:rsid w:val="00D118AF"/>
    <w:rsid w:val="00D13244"/>
    <w:rsid w:val="00D13695"/>
    <w:rsid w:val="00D1471B"/>
    <w:rsid w:val="00D15A1F"/>
    <w:rsid w:val="00D15BDE"/>
    <w:rsid w:val="00D17B41"/>
    <w:rsid w:val="00D17B9C"/>
    <w:rsid w:val="00D20925"/>
    <w:rsid w:val="00D22AD6"/>
    <w:rsid w:val="00D22C74"/>
    <w:rsid w:val="00D22EEB"/>
    <w:rsid w:val="00D22FF3"/>
    <w:rsid w:val="00D24396"/>
    <w:rsid w:val="00D24475"/>
    <w:rsid w:val="00D24763"/>
    <w:rsid w:val="00D26581"/>
    <w:rsid w:val="00D27DF5"/>
    <w:rsid w:val="00D31B44"/>
    <w:rsid w:val="00D3242F"/>
    <w:rsid w:val="00D33553"/>
    <w:rsid w:val="00D33845"/>
    <w:rsid w:val="00D34F89"/>
    <w:rsid w:val="00D354A6"/>
    <w:rsid w:val="00D37560"/>
    <w:rsid w:val="00D41550"/>
    <w:rsid w:val="00D41AAD"/>
    <w:rsid w:val="00D45F23"/>
    <w:rsid w:val="00D46D78"/>
    <w:rsid w:val="00D47053"/>
    <w:rsid w:val="00D51E36"/>
    <w:rsid w:val="00D54123"/>
    <w:rsid w:val="00D5471E"/>
    <w:rsid w:val="00D54A6C"/>
    <w:rsid w:val="00D54B06"/>
    <w:rsid w:val="00D550A5"/>
    <w:rsid w:val="00D5524A"/>
    <w:rsid w:val="00D564AF"/>
    <w:rsid w:val="00D56FA5"/>
    <w:rsid w:val="00D575E5"/>
    <w:rsid w:val="00D6055A"/>
    <w:rsid w:val="00D62397"/>
    <w:rsid w:val="00D62B32"/>
    <w:rsid w:val="00D62C39"/>
    <w:rsid w:val="00D63BF8"/>
    <w:rsid w:val="00D6513C"/>
    <w:rsid w:val="00D65E53"/>
    <w:rsid w:val="00D71999"/>
    <w:rsid w:val="00D72EA2"/>
    <w:rsid w:val="00D7331A"/>
    <w:rsid w:val="00D7494C"/>
    <w:rsid w:val="00D74F24"/>
    <w:rsid w:val="00D75012"/>
    <w:rsid w:val="00D75C9D"/>
    <w:rsid w:val="00D75FA6"/>
    <w:rsid w:val="00D769DC"/>
    <w:rsid w:val="00D77790"/>
    <w:rsid w:val="00D80D81"/>
    <w:rsid w:val="00D81519"/>
    <w:rsid w:val="00D81F81"/>
    <w:rsid w:val="00D82361"/>
    <w:rsid w:val="00D8567D"/>
    <w:rsid w:val="00D8620A"/>
    <w:rsid w:val="00D9244A"/>
    <w:rsid w:val="00D93188"/>
    <w:rsid w:val="00D947C4"/>
    <w:rsid w:val="00D950A2"/>
    <w:rsid w:val="00D97254"/>
    <w:rsid w:val="00D97813"/>
    <w:rsid w:val="00DA0022"/>
    <w:rsid w:val="00DA15F1"/>
    <w:rsid w:val="00DA1E77"/>
    <w:rsid w:val="00DA2165"/>
    <w:rsid w:val="00DA2294"/>
    <w:rsid w:val="00DA2898"/>
    <w:rsid w:val="00DA2970"/>
    <w:rsid w:val="00DA56D2"/>
    <w:rsid w:val="00DA593D"/>
    <w:rsid w:val="00DA7AAD"/>
    <w:rsid w:val="00DB2311"/>
    <w:rsid w:val="00DB4AFA"/>
    <w:rsid w:val="00DB4FEE"/>
    <w:rsid w:val="00DB504A"/>
    <w:rsid w:val="00DB7A46"/>
    <w:rsid w:val="00DC02A8"/>
    <w:rsid w:val="00DC2019"/>
    <w:rsid w:val="00DC480E"/>
    <w:rsid w:val="00DC4CEA"/>
    <w:rsid w:val="00DC77B3"/>
    <w:rsid w:val="00DC7AF5"/>
    <w:rsid w:val="00DC7C55"/>
    <w:rsid w:val="00DD0D5A"/>
    <w:rsid w:val="00DD1811"/>
    <w:rsid w:val="00DD1C15"/>
    <w:rsid w:val="00DD25EB"/>
    <w:rsid w:val="00DD2DC2"/>
    <w:rsid w:val="00DD34A0"/>
    <w:rsid w:val="00DD3EE7"/>
    <w:rsid w:val="00DD4F27"/>
    <w:rsid w:val="00DD6423"/>
    <w:rsid w:val="00DD75A3"/>
    <w:rsid w:val="00DD7887"/>
    <w:rsid w:val="00DE14C8"/>
    <w:rsid w:val="00DE3380"/>
    <w:rsid w:val="00DE6319"/>
    <w:rsid w:val="00DE6509"/>
    <w:rsid w:val="00DF49C8"/>
    <w:rsid w:val="00E0077F"/>
    <w:rsid w:val="00E019DA"/>
    <w:rsid w:val="00E02E5E"/>
    <w:rsid w:val="00E05E33"/>
    <w:rsid w:val="00E07DFC"/>
    <w:rsid w:val="00E122B6"/>
    <w:rsid w:val="00E133E7"/>
    <w:rsid w:val="00E13430"/>
    <w:rsid w:val="00E13585"/>
    <w:rsid w:val="00E14D5C"/>
    <w:rsid w:val="00E1701F"/>
    <w:rsid w:val="00E20483"/>
    <w:rsid w:val="00E20954"/>
    <w:rsid w:val="00E22F61"/>
    <w:rsid w:val="00E23FC2"/>
    <w:rsid w:val="00E26997"/>
    <w:rsid w:val="00E26CF1"/>
    <w:rsid w:val="00E32764"/>
    <w:rsid w:val="00E33421"/>
    <w:rsid w:val="00E3371F"/>
    <w:rsid w:val="00E33834"/>
    <w:rsid w:val="00E33B34"/>
    <w:rsid w:val="00E3649B"/>
    <w:rsid w:val="00E36870"/>
    <w:rsid w:val="00E37F56"/>
    <w:rsid w:val="00E4001E"/>
    <w:rsid w:val="00E40AE9"/>
    <w:rsid w:val="00E4260E"/>
    <w:rsid w:val="00E43950"/>
    <w:rsid w:val="00E44035"/>
    <w:rsid w:val="00E45533"/>
    <w:rsid w:val="00E45A42"/>
    <w:rsid w:val="00E46AF3"/>
    <w:rsid w:val="00E46ECC"/>
    <w:rsid w:val="00E51C63"/>
    <w:rsid w:val="00E5468C"/>
    <w:rsid w:val="00E557F2"/>
    <w:rsid w:val="00E5694B"/>
    <w:rsid w:val="00E5712D"/>
    <w:rsid w:val="00E61327"/>
    <w:rsid w:val="00E65490"/>
    <w:rsid w:val="00E65C87"/>
    <w:rsid w:val="00E67FC9"/>
    <w:rsid w:val="00E707C4"/>
    <w:rsid w:val="00E70935"/>
    <w:rsid w:val="00E70FBC"/>
    <w:rsid w:val="00E71B0D"/>
    <w:rsid w:val="00E724B2"/>
    <w:rsid w:val="00E74410"/>
    <w:rsid w:val="00E7520A"/>
    <w:rsid w:val="00E81E79"/>
    <w:rsid w:val="00E83F85"/>
    <w:rsid w:val="00E846EA"/>
    <w:rsid w:val="00E85B37"/>
    <w:rsid w:val="00E938B1"/>
    <w:rsid w:val="00E942BB"/>
    <w:rsid w:val="00E94A61"/>
    <w:rsid w:val="00E955B1"/>
    <w:rsid w:val="00E957F4"/>
    <w:rsid w:val="00E95B33"/>
    <w:rsid w:val="00E95DC0"/>
    <w:rsid w:val="00EA0095"/>
    <w:rsid w:val="00EA0B6C"/>
    <w:rsid w:val="00EA14B6"/>
    <w:rsid w:val="00EA1698"/>
    <w:rsid w:val="00EA1951"/>
    <w:rsid w:val="00EA264F"/>
    <w:rsid w:val="00EA306B"/>
    <w:rsid w:val="00EA3160"/>
    <w:rsid w:val="00EA3C49"/>
    <w:rsid w:val="00EA3EE4"/>
    <w:rsid w:val="00EA4B46"/>
    <w:rsid w:val="00EA5BA7"/>
    <w:rsid w:val="00EA781E"/>
    <w:rsid w:val="00EB195A"/>
    <w:rsid w:val="00EB1F8C"/>
    <w:rsid w:val="00EB3314"/>
    <w:rsid w:val="00EB3A1F"/>
    <w:rsid w:val="00EB5634"/>
    <w:rsid w:val="00EB5C57"/>
    <w:rsid w:val="00EC1D68"/>
    <w:rsid w:val="00EC2B4C"/>
    <w:rsid w:val="00EC467D"/>
    <w:rsid w:val="00EC549C"/>
    <w:rsid w:val="00EC60D9"/>
    <w:rsid w:val="00EC6E78"/>
    <w:rsid w:val="00EC7EDB"/>
    <w:rsid w:val="00ED1AE6"/>
    <w:rsid w:val="00ED1CA1"/>
    <w:rsid w:val="00ED2BB5"/>
    <w:rsid w:val="00ED378D"/>
    <w:rsid w:val="00ED5D98"/>
    <w:rsid w:val="00ED649B"/>
    <w:rsid w:val="00ED64CD"/>
    <w:rsid w:val="00ED78C1"/>
    <w:rsid w:val="00EE0611"/>
    <w:rsid w:val="00EE09A4"/>
    <w:rsid w:val="00EE0D25"/>
    <w:rsid w:val="00EE5FDC"/>
    <w:rsid w:val="00EE6920"/>
    <w:rsid w:val="00EF2634"/>
    <w:rsid w:val="00EF26F6"/>
    <w:rsid w:val="00EF3579"/>
    <w:rsid w:val="00EF43AD"/>
    <w:rsid w:val="00EF61C7"/>
    <w:rsid w:val="00F025D3"/>
    <w:rsid w:val="00F028C0"/>
    <w:rsid w:val="00F03A5D"/>
    <w:rsid w:val="00F03A9B"/>
    <w:rsid w:val="00F04570"/>
    <w:rsid w:val="00F0482E"/>
    <w:rsid w:val="00F06730"/>
    <w:rsid w:val="00F07AE9"/>
    <w:rsid w:val="00F07F6A"/>
    <w:rsid w:val="00F1072F"/>
    <w:rsid w:val="00F11D0B"/>
    <w:rsid w:val="00F14FA3"/>
    <w:rsid w:val="00F17CC0"/>
    <w:rsid w:val="00F20D6F"/>
    <w:rsid w:val="00F21543"/>
    <w:rsid w:val="00F234A3"/>
    <w:rsid w:val="00F23967"/>
    <w:rsid w:val="00F242A7"/>
    <w:rsid w:val="00F251BE"/>
    <w:rsid w:val="00F26946"/>
    <w:rsid w:val="00F26D77"/>
    <w:rsid w:val="00F26F28"/>
    <w:rsid w:val="00F27315"/>
    <w:rsid w:val="00F30378"/>
    <w:rsid w:val="00F32887"/>
    <w:rsid w:val="00F328A1"/>
    <w:rsid w:val="00F36312"/>
    <w:rsid w:val="00F36F2C"/>
    <w:rsid w:val="00F376CD"/>
    <w:rsid w:val="00F37C5B"/>
    <w:rsid w:val="00F40394"/>
    <w:rsid w:val="00F41B91"/>
    <w:rsid w:val="00F41C93"/>
    <w:rsid w:val="00F426F0"/>
    <w:rsid w:val="00F42E7A"/>
    <w:rsid w:val="00F45D1A"/>
    <w:rsid w:val="00F45E22"/>
    <w:rsid w:val="00F4713B"/>
    <w:rsid w:val="00F514AE"/>
    <w:rsid w:val="00F537B9"/>
    <w:rsid w:val="00F54C5C"/>
    <w:rsid w:val="00F54F79"/>
    <w:rsid w:val="00F56387"/>
    <w:rsid w:val="00F56F79"/>
    <w:rsid w:val="00F61F9E"/>
    <w:rsid w:val="00F6397D"/>
    <w:rsid w:val="00F650AF"/>
    <w:rsid w:val="00F663E2"/>
    <w:rsid w:val="00F703B1"/>
    <w:rsid w:val="00F70587"/>
    <w:rsid w:val="00F72817"/>
    <w:rsid w:val="00F7296A"/>
    <w:rsid w:val="00F73478"/>
    <w:rsid w:val="00F73C2F"/>
    <w:rsid w:val="00F74303"/>
    <w:rsid w:val="00F74630"/>
    <w:rsid w:val="00F76453"/>
    <w:rsid w:val="00F77345"/>
    <w:rsid w:val="00F77BC7"/>
    <w:rsid w:val="00F800E0"/>
    <w:rsid w:val="00F80924"/>
    <w:rsid w:val="00F80A23"/>
    <w:rsid w:val="00F81A61"/>
    <w:rsid w:val="00F81EE5"/>
    <w:rsid w:val="00F83929"/>
    <w:rsid w:val="00F84A7A"/>
    <w:rsid w:val="00F85402"/>
    <w:rsid w:val="00F85CEF"/>
    <w:rsid w:val="00F90B78"/>
    <w:rsid w:val="00F93D4A"/>
    <w:rsid w:val="00F96F50"/>
    <w:rsid w:val="00F972B1"/>
    <w:rsid w:val="00FA0337"/>
    <w:rsid w:val="00FA1FDA"/>
    <w:rsid w:val="00FA216A"/>
    <w:rsid w:val="00FA27A3"/>
    <w:rsid w:val="00FA3738"/>
    <w:rsid w:val="00FA3750"/>
    <w:rsid w:val="00FA3815"/>
    <w:rsid w:val="00FA3C0F"/>
    <w:rsid w:val="00FA4825"/>
    <w:rsid w:val="00FA4C34"/>
    <w:rsid w:val="00FB06A5"/>
    <w:rsid w:val="00FB08DD"/>
    <w:rsid w:val="00FB1304"/>
    <w:rsid w:val="00FB21F6"/>
    <w:rsid w:val="00FB3A8C"/>
    <w:rsid w:val="00FB5A08"/>
    <w:rsid w:val="00FB5C42"/>
    <w:rsid w:val="00FC0256"/>
    <w:rsid w:val="00FC0D2C"/>
    <w:rsid w:val="00FC12D0"/>
    <w:rsid w:val="00FC2A83"/>
    <w:rsid w:val="00FC2AE3"/>
    <w:rsid w:val="00FC3411"/>
    <w:rsid w:val="00FC4A94"/>
    <w:rsid w:val="00FC4F45"/>
    <w:rsid w:val="00FC70B4"/>
    <w:rsid w:val="00FD2C53"/>
    <w:rsid w:val="00FD301C"/>
    <w:rsid w:val="00FD3852"/>
    <w:rsid w:val="00FD39D8"/>
    <w:rsid w:val="00FD537F"/>
    <w:rsid w:val="00FD5C4B"/>
    <w:rsid w:val="00FD6609"/>
    <w:rsid w:val="00FD7AB4"/>
    <w:rsid w:val="00FE50D8"/>
    <w:rsid w:val="00FE5158"/>
    <w:rsid w:val="00FE625E"/>
    <w:rsid w:val="00FE7677"/>
    <w:rsid w:val="00FE7877"/>
    <w:rsid w:val="00FF121B"/>
    <w:rsid w:val="00FF2E75"/>
    <w:rsid w:val="00FF333F"/>
    <w:rsid w:val="00FF3F0A"/>
    <w:rsid w:val="00FF41E9"/>
    <w:rsid w:val="00FF42C4"/>
    <w:rsid w:val="00FF4456"/>
    <w:rsid w:val="00FF44FF"/>
    <w:rsid w:val="00FF531D"/>
    <w:rsid w:val="00FF6593"/>
    <w:rsid w:val="00FF684F"/>
    <w:rsid w:val="00FF6F43"/>
    <w:rsid w:val="00FF7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colormru v:ext="edit" colors="#9fc9eb,#369,#e01f26"/>
    </o:shapedefaults>
    <o:shapelayout v:ext="edit">
      <o:idmap v:ext="edit" data="1"/>
    </o:shapelayout>
  </w:shapeDefaults>
  <w:decimalSymbol w:val="."/>
  <w:listSeparator w:val=","/>
  <w14:docId w14:val="27268160"/>
  <w15:docId w15:val="{3E6F61E3-7E98-47D3-A9F3-1ADB3C1E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B9B"/>
    <w:pPr>
      <w:autoSpaceDE w:val="0"/>
      <w:autoSpaceDN w:val="0"/>
    </w:pPr>
    <w:rPr>
      <w:lang w:eastAsia="en-US"/>
    </w:rPr>
  </w:style>
  <w:style w:type="paragraph" w:styleId="Heading1">
    <w:name w:val="heading 1"/>
    <w:basedOn w:val="Normal"/>
    <w:next w:val="Normal"/>
    <w:qFormat/>
    <w:rsid w:val="00CD4154"/>
    <w:pPr>
      <w:keepNext/>
      <w:numPr>
        <w:numId w:val="3"/>
      </w:numPr>
      <w:jc w:val="center"/>
      <w:outlineLvl w:val="0"/>
    </w:pPr>
    <w:rPr>
      <w:b/>
      <w:bCs/>
      <w:caps/>
      <w:sz w:val="40"/>
      <w:szCs w:val="40"/>
    </w:rPr>
  </w:style>
  <w:style w:type="paragraph" w:styleId="Heading2">
    <w:name w:val="heading 2"/>
    <w:basedOn w:val="BodyText2"/>
    <w:next w:val="Normal"/>
    <w:link w:val="Heading2Char"/>
    <w:qFormat/>
    <w:rsid w:val="00CD4154"/>
    <w:pPr>
      <w:numPr>
        <w:ilvl w:val="1"/>
        <w:numId w:val="3"/>
      </w:numPr>
      <w:jc w:val="center"/>
      <w:outlineLvl w:val="1"/>
    </w:pPr>
    <w:rPr>
      <w:rFonts w:ascii="Times New Roman" w:hAnsi="Times New Roman"/>
      <w:bCs/>
      <w:smallCaps/>
      <w:sz w:val="36"/>
    </w:rPr>
  </w:style>
  <w:style w:type="paragraph" w:styleId="Heading3">
    <w:name w:val="heading 3"/>
    <w:basedOn w:val="Normal"/>
    <w:next w:val="Normal"/>
    <w:qFormat/>
    <w:rsid w:val="00E95DC0"/>
    <w:pPr>
      <w:keepNext/>
      <w:numPr>
        <w:ilvl w:val="2"/>
        <w:numId w:val="3"/>
      </w:numPr>
      <w:outlineLvl w:val="2"/>
    </w:pPr>
    <w:rPr>
      <w:b/>
      <w:bCs/>
    </w:rPr>
  </w:style>
  <w:style w:type="paragraph" w:styleId="Heading4">
    <w:name w:val="heading 4"/>
    <w:basedOn w:val="Normal"/>
    <w:next w:val="Normal"/>
    <w:qFormat/>
    <w:rsid w:val="00E95DC0"/>
    <w:pPr>
      <w:keepNext/>
      <w:numPr>
        <w:ilvl w:val="3"/>
        <w:numId w:val="3"/>
      </w:numPr>
      <w:outlineLvl w:val="3"/>
    </w:pPr>
    <w:rPr>
      <w:b/>
      <w:bCs/>
    </w:rPr>
  </w:style>
  <w:style w:type="paragraph" w:styleId="Heading5">
    <w:name w:val="heading 5"/>
    <w:basedOn w:val="Normal"/>
    <w:next w:val="Normal"/>
    <w:qFormat/>
    <w:rsid w:val="00E95DC0"/>
    <w:pPr>
      <w:keepNext/>
      <w:numPr>
        <w:ilvl w:val="4"/>
        <w:numId w:val="3"/>
      </w:numPr>
      <w:outlineLvl w:val="4"/>
    </w:pPr>
    <w:rPr>
      <w:rFonts w:ascii="Garamond" w:hAnsi="Garamond" w:cs="Garamond"/>
      <w:b/>
      <w:bCs/>
      <w:sz w:val="28"/>
      <w:szCs w:val="28"/>
      <w:u w:val="single"/>
    </w:rPr>
  </w:style>
  <w:style w:type="paragraph" w:styleId="Heading6">
    <w:name w:val="heading 6"/>
    <w:basedOn w:val="Normal"/>
    <w:next w:val="Normal"/>
    <w:qFormat/>
    <w:rsid w:val="00E95DC0"/>
    <w:pPr>
      <w:keepNext/>
      <w:numPr>
        <w:ilvl w:val="5"/>
        <w:numId w:val="3"/>
      </w:numPr>
      <w:outlineLvl w:val="5"/>
    </w:pPr>
    <w:rPr>
      <w:rFonts w:ascii="Garamond" w:hAnsi="Garamond" w:cs="Garamond"/>
      <w:b/>
      <w:bCs/>
      <w:sz w:val="24"/>
      <w:szCs w:val="24"/>
      <w:u w:val="single"/>
    </w:rPr>
  </w:style>
  <w:style w:type="paragraph" w:styleId="Heading7">
    <w:name w:val="heading 7"/>
    <w:basedOn w:val="Normal"/>
    <w:next w:val="Normal"/>
    <w:qFormat/>
    <w:rsid w:val="00E95DC0"/>
    <w:pPr>
      <w:keepNext/>
      <w:numPr>
        <w:ilvl w:val="6"/>
        <w:numId w:val="3"/>
      </w:numPr>
      <w:outlineLvl w:val="6"/>
    </w:pPr>
    <w:rPr>
      <w:rFonts w:ascii="Garamond" w:hAnsi="Garamond" w:cs="Garamond"/>
      <w:b/>
      <w:bCs/>
      <w:sz w:val="24"/>
      <w:szCs w:val="24"/>
    </w:rPr>
  </w:style>
  <w:style w:type="paragraph" w:styleId="Heading8">
    <w:name w:val="heading 8"/>
    <w:basedOn w:val="Normal"/>
    <w:next w:val="Normal"/>
    <w:qFormat/>
    <w:rsid w:val="00E95DC0"/>
    <w:pPr>
      <w:keepNext/>
      <w:numPr>
        <w:ilvl w:val="7"/>
        <w:numId w:val="3"/>
      </w:numPr>
      <w:outlineLvl w:val="7"/>
    </w:pPr>
    <w:rPr>
      <w:rFonts w:ascii="Garamond" w:hAnsi="Garamond" w:cs="Garamond"/>
      <w:sz w:val="24"/>
      <w:szCs w:val="24"/>
    </w:rPr>
  </w:style>
  <w:style w:type="paragraph" w:styleId="Heading9">
    <w:name w:val="heading 9"/>
    <w:basedOn w:val="Normal"/>
    <w:next w:val="Normal"/>
    <w:qFormat/>
    <w:rsid w:val="00E95DC0"/>
    <w:pPr>
      <w:keepNext/>
      <w:numPr>
        <w:ilvl w:val="8"/>
        <w:numId w:val="3"/>
      </w:numPr>
      <w:outlineLvl w:val="8"/>
    </w:pPr>
    <w:rPr>
      <w:rFonts w:ascii="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95DC0"/>
    <w:rPr>
      <w:rFonts w:ascii="Garamond" w:hAnsi="Garamond" w:cs="Garamond"/>
      <w:sz w:val="24"/>
      <w:szCs w:val="24"/>
    </w:rPr>
  </w:style>
  <w:style w:type="paragraph" w:styleId="BodyText">
    <w:name w:val="Body Text"/>
    <w:basedOn w:val="Normal"/>
    <w:rsid w:val="00E95DC0"/>
    <w:rPr>
      <w:b/>
      <w:bCs/>
    </w:rPr>
  </w:style>
  <w:style w:type="paragraph" w:styleId="BodyTextIndent2">
    <w:name w:val="Body Text Indent 2"/>
    <w:basedOn w:val="Normal"/>
    <w:rsid w:val="00E95DC0"/>
    <w:pPr>
      <w:ind w:left="720" w:hanging="720"/>
    </w:pPr>
    <w:rPr>
      <w:b/>
      <w:bCs/>
    </w:rPr>
  </w:style>
  <w:style w:type="paragraph" w:styleId="Header">
    <w:name w:val="header"/>
    <w:basedOn w:val="Normal"/>
    <w:rsid w:val="00E95DC0"/>
    <w:pPr>
      <w:tabs>
        <w:tab w:val="center" w:pos="4320"/>
        <w:tab w:val="right" w:pos="8640"/>
      </w:tabs>
    </w:pPr>
  </w:style>
  <w:style w:type="paragraph" w:styleId="Footer">
    <w:name w:val="footer"/>
    <w:basedOn w:val="Normal"/>
    <w:rsid w:val="00E95DC0"/>
    <w:pPr>
      <w:tabs>
        <w:tab w:val="center" w:pos="4320"/>
        <w:tab w:val="right" w:pos="8640"/>
      </w:tabs>
    </w:pPr>
  </w:style>
  <w:style w:type="paragraph" w:styleId="Title">
    <w:name w:val="Title"/>
    <w:basedOn w:val="Normal"/>
    <w:qFormat/>
    <w:rsid w:val="00E95DC0"/>
    <w:pPr>
      <w:jc w:val="center"/>
    </w:pPr>
    <w:rPr>
      <w:b/>
      <w:bCs/>
    </w:rPr>
  </w:style>
  <w:style w:type="paragraph" w:customStyle="1" w:styleId="HTMLBody">
    <w:name w:val="HTML Body"/>
    <w:rsid w:val="00E95DC0"/>
    <w:pPr>
      <w:autoSpaceDE w:val="0"/>
      <w:autoSpaceDN w:val="0"/>
      <w:adjustRightInd w:val="0"/>
    </w:pPr>
    <w:rPr>
      <w:rFonts w:ascii="Arial" w:hAnsi="Arial" w:cs="Arial"/>
      <w:lang w:eastAsia="en-US"/>
    </w:rPr>
  </w:style>
  <w:style w:type="paragraph" w:styleId="BodyTextIndent3">
    <w:name w:val="Body Text Indent 3"/>
    <w:basedOn w:val="Normal"/>
    <w:link w:val="BodyTextIndent3Char"/>
    <w:rsid w:val="00E95DC0"/>
    <w:pPr>
      <w:ind w:left="360"/>
    </w:pPr>
    <w:rPr>
      <w:sz w:val="24"/>
      <w:szCs w:val="24"/>
    </w:rPr>
  </w:style>
  <w:style w:type="character" w:styleId="PageNumber">
    <w:name w:val="page number"/>
    <w:rsid w:val="00E95DC0"/>
    <w:rPr>
      <w:rFonts w:cs="Times New Roman"/>
    </w:rPr>
  </w:style>
  <w:style w:type="character" w:styleId="Hyperlink">
    <w:name w:val="Hyperlink"/>
    <w:uiPriority w:val="99"/>
    <w:rsid w:val="00E95DC0"/>
    <w:rPr>
      <w:rFonts w:cs="Times New Roman"/>
      <w:color w:val="0000FF"/>
      <w:u w:val="single"/>
    </w:rPr>
  </w:style>
  <w:style w:type="character" w:styleId="FollowedHyperlink">
    <w:name w:val="FollowedHyperlink"/>
    <w:rsid w:val="00E95DC0"/>
    <w:rPr>
      <w:rFonts w:cs="Times New Roman"/>
      <w:color w:val="800080"/>
      <w:u w:val="single"/>
    </w:rPr>
  </w:style>
  <w:style w:type="character" w:styleId="CommentReference">
    <w:name w:val="annotation reference"/>
    <w:rsid w:val="00E95DC0"/>
    <w:rPr>
      <w:rFonts w:cs="Times New Roman"/>
      <w:sz w:val="16"/>
      <w:szCs w:val="16"/>
    </w:rPr>
  </w:style>
  <w:style w:type="paragraph" w:styleId="CommentText">
    <w:name w:val="annotation text"/>
    <w:basedOn w:val="Normal"/>
    <w:link w:val="CommentTextChar"/>
    <w:rsid w:val="00E95DC0"/>
  </w:style>
  <w:style w:type="character" w:styleId="Strong">
    <w:name w:val="Strong"/>
    <w:uiPriority w:val="22"/>
    <w:qFormat/>
    <w:rsid w:val="00E95DC0"/>
    <w:rPr>
      <w:rFonts w:cs="Times New Roman"/>
      <w:b/>
      <w:bCs/>
    </w:rPr>
  </w:style>
  <w:style w:type="paragraph" w:styleId="BalloonText">
    <w:name w:val="Balloon Text"/>
    <w:basedOn w:val="Normal"/>
    <w:semiHidden/>
    <w:rsid w:val="000B5D20"/>
    <w:rPr>
      <w:rFonts w:ascii="Tahoma" w:hAnsi="Tahoma" w:cs="Tahoma"/>
      <w:sz w:val="16"/>
      <w:szCs w:val="16"/>
    </w:rPr>
  </w:style>
  <w:style w:type="paragraph" w:styleId="CommentSubject">
    <w:name w:val="annotation subject"/>
    <w:basedOn w:val="CommentText"/>
    <w:next w:val="CommentText"/>
    <w:semiHidden/>
    <w:rsid w:val="004827CC"/>
    <w:rPr>
      <w:b/>
      <w:bCs/>
    </w:rPr>
  </w:style>
  <w:style w:type="paragraph" w:styleId="HTMLPreformatted">
    <w:name w:val="HTML Preformatted"/>
    <w:basedOn w:val="Normal"/>
    <w:rsid w:val="00D97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table" w:styleId="TableGrid">
    <w:name w:val="Table Grid"/>
    <w:basedOn w:val="TableNormal"/>
    <w:uiPriority w:val="39"/>
    <w:rsid w:val="00A35B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76140"/>
    <w:pPr>
      <w:spacing w:after="120"/>
      <w:ind w:left="360"/>
    </w:pPr>
  </w:style>
  <w:style w:type="paragraph" w:styleId="Signature">
    <w:name w:val="Signature"/>
    <w:basedOn w:val="Normal"/>
    <w:rsid w:val="00E67FC9"/>
    <w:pPr>
      <w:autoSpaceDE/>
      <w:autoSpaceDN/>
      <w:spacing w:before="100" w:beforeAutospacing="1" w:after="100" w:afterAutospacing="1"/>
    </w:pPr>
    <w:rPr>
      <w:sz w:val="24"/>
      <w:szCs w:val="24"/>
    </w:rPr>
  </w:style>
  <w:style w:type="paragraph" w:styleId="NormalWeb">
    <w:name w:val="Normal (Web)"/>
    <w:basedOn w:val="Normal"/>
    <w:uiPriority w:val="99"/>
    <w:rsid w:val="005B5B49"/>
    <w:pPr>
      <w:autoSpaceDE/>
      <w:autoSpaceDN/>
      <w:spacing w:before="100" w:beforeAutospacing="1" w:after="100" w:afterAutospacing="1"/>
    </w:pPr>
    <w:rPr>
      <w:rFonts w:eastAsia="MS Mincho"/>
      <w:sz w:val="24"/>
      <w:szCs w:val="24"/>
      <w:lang w:eastAsia="ja-JP"/>
    </w:rPr>
  </w:style>
  <w:style w:type="paragraph" w:customStyle="1" w:styleId="font5">
    <w:name w:val="font5"/>
    <w:basedOn w:val="Normal"/>
    <w:rsid w:val="0057490C"/>
    <w:pPr>
      <w:autoSpaceDE/>
      <w:autoSpaceDN/>
      <w:spacing w:before="100" w:beforeAutospacing="1" w:after="100" w:afterAutospacing="1"/>
    </w:pPr>
    <w:rPr>
      <w:rFonts w:ascii="Arial" w:hAnsi="Arial" w:cs="Arial"/>
      <w:b/>
      <w:bCs/>
    </w:rPr>
  </w:style>
  <w:style w:type="paragraph" w:customStyle="1" w:styleId="font6">
    <w:name w:val="font6"/>
    <w:basedOn w:val="Normal"/>
    <w:rsid w:val="0057490C"/>
    <w:pPr>
      <w:autoSpaceDE/>
      <w:autoSpaceDN/>
      <w:spacing w:before="100" w:beforeAutospacing="1" w:after="100" w:afterAutospacing="1"/>
    </w:pPr>
    <w:rPr>
      <w:rFonts w:ascii="Arial" w:hAnsi="Arial" w:cs="Arial"/>
    </w:rPr>
  </w:style>
  <w:style w:type="paragraph" w:customStyle="1" w:styleId="font7">
    <w:name w:val="font7"/>
    <w:basedOn w:val="Normal"/>
    <w:rsid w:val="0057490C"/>
    <w:pPr>
      <w:autoSpaceDE/>
      <w:autoSpaceDN/>
      <w:spacing w:before="100" w:beforeAutospacing="1" w:after="100" w:afterAutospacing="1"/>
    </w:pPr>
    <w:rPr>
      <w:rFonts w:ascii="Arial" w:hAnsi="Arial" w:cs="Arial"/>
      <w:i/>
      <w:iCs/>
    </w:rPr>
  </w:style>
  <w:style w:type="paragraph" w:customStyle="1" w:styleId="font8">
    <w:name w:val="font8"/>
    <w:basedOn w:val="Normal"/>
    <w:rsid w:val="0057490C"/>
    <w:pPr>
      <w:autoSpaceDE/>
      <w:autoSpaceDN/>
      <w:spacing w:before="100" w:beforeAutospacing="1" w:after="100" w:afterAutospacing="1"/>
    </w:pPr>
    <w:rPr>
      <w:rFonts w:ascii="Arial" w:hAnsi="Arial" w:cs="Arial"/>
      <w:color w:val="000000"/>
    </w:rPr>
  </w:style>
  <w:style w:type="paragraph" w:customStyle="1" w:styleId="xl25">
    <w:name w:val="xl25"/>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b/>
      <w:bCs/>
      <w:sz w:val="24"/>
      <w:szCs w:val="24"/>
    </w:rPr>
  </w:style>
  <w:style w:type="paragraph" w:customStyle="1" w:styleId="xl26">
    <w:name w:val="xl26"/>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rPr>
  </w:style>
  <w:style w:type="paragraph" w:customStyle="1" w:styleId="xl27">
    <w:name w:val="xl27"/>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28">
    <w:name w:val="xl28"/>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29">
    <w:name w:val="xl29"/>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30">
    <w:name w:val="xl30"/>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31">
    <w:name w:val="xl31"/>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color w:val="000000"/>
      <w:sz w:val="24"/>
      <w:szCs w:val="24"/>
    </w:rPr>
  </w:style>
  <w:style w:type="paragraph" w:customStyle="1" w:styleId="xl32">
    <w:name w:val="xl32"/>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rPr>
  </w:style>
  <w:style w:type="paragraph" w:customStyle="1" w:styleId="xl33">
    <w:name w:val="xl33"/>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w:hAnsi="Arial" w:cs="Arial"/>
      <w:b/>
      <w:bCs/>
      <w:sz w:val="24"/>
      <w:szCs w:val="24"/>
    </w:rPr>
  </w:style>
  <w:style w:type="paragraph" w:customStyle="1" w:styleId="xl34">
    <w:name w:val="xl34"/>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w:hAnsi="Arial" w:cs="Arial"/>
      <w:b/>
      <w:bCs/>
      <w:sz w:val="24"/>
      <w:szCs w:val="24"/>
    </w:rPr>
  </w:style>
  <w:style w:type="paragraph" w:customStyle="1" w:styleId="xl35">
    <w:name w:val="xl35"/>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36">
    <w:name w:val="xl36"/>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37">
    <w:name w:val="xl37"/>
    <w:basedOn w:val="Normal"/>
    <w:rsid w:val="0057490C"/>
    <w:pPr>
      <w:pBdr>
        <w:top w:val="single" w:sz="4" w:space="0" w:color="auto"/>
        <w:left w:val="single" w:sz="4" w:space="0" w:color="auto"/>
        <w:bottom w:val="single" w:sz="4" w:space="0" w:color="auto"/>
        <w:right w:val="single" w:sz="4" w:space="0" w:color="auto"/>
      </w:pBdr>
      <w:shd w:val="clear" w:color="auto" w:fill="FFFF99"/>
      <w:autoSpaceDE/>
      <w:autoSpaceDN/>
      <w:spacing w:before="100" w:beforeAutospacing="1" w:after="100" w:afterAutospacing="1"/>
      <w:textAlignment w:val="top"/>
    </w:pPr>
    <w:rPr>
      <w:rFonts w:ascii="Arial" w:hAnsi="Arial" w:cs="Arial"/>
      <w:b/>
      <w:bCs/>
      <w:sz w:val="24"/>
      <w:szCs w:val="24"/>
    </w:rPr>
  </w:style>
  <w:style w:type="paragraph" w:customStyle="1" w:styleId="xl38">
    <w:name w:val="xl38"/>
    <w:basedOn w:val="Normal"/>
    <w:rsid w:val="0057490C"/>
    <w:pPr>
      <w:pBdr>
        <w:top w:val="single" w:sz="4" w:space="0" w:color="auto"/>
        <w:left w:val="single" w:sz="4" w:space="0" w:color="auto"/>
        <w:bottom w:val="single" w:sz="4" w:space="0" w:color="auto"/>
        <w:right w:val="single" w:sz="4" w:space="0" w:color="auto"/>
      </w:pBdr>
      <w:shd w:val="clear" w:color="auto" w:fill="969696"/>
      <w:autoSpaceDE/>
      <w:autoSpaceDN/>
      <w:spacing w:before="100" w:beforeAutospacing="1" w:after="100" w:afterAutospacing="1"/>
      <w:textAlignment w:val="top"/>
    </w:pPr>
    <w:rPr>
      <w:rFonts w:ascii="Arial" w:hAnsi="Arial" w:cs="Arial"/>
      <w:b/>
      <w:bCs/>
      <w:sz w:val="22"/>
      <w:szCs w:val="22"/>
    </w:rPr>
  </w:style>
  <w:style w:type="paragraph" w:customStyle="1" w:styleId="xl39">
    <w:name w:val="xl39"/>
    <w:basedOn w:val="Normal"/>
    <w:rsid w:val="0057490C"/>
    <w:pPr>
      <w:pBdr>
        <w:top w:val="single" w:sz="4" w:space="0" w:color="auto"/>
        <w:left w:val="single" w:sz="4" w:space="0" w:color="auto"/>
        <w:bottom w:val="single" w:sz="4" w:space="0" w:color="auto"/>
        <w:right w:val="single" w:sz="4" w:space="0" w:color="auto"/>
      </w:pBdr>
      <w:shd w:val="clear" w:color="auto" w:fill="CCFFFF"/>
      <w:autoSpaceDE/>
      <w:autoSpaceDN/>
      <w:spacing w:before="100" w:beforeAutospacing="1" w:after="100" w:afterAutospacing="1"/>
      <w:textAlignment w:val="top"/>
    </w:pPr>
    <w:rPr>
      <w:rFonts w:ascii="Arial" w:hAnsi="Arial" w:cs="Arial"/>
      <w:b/>
      <w:bCs/>
      <w:sz w:val="24"/>
      <w:szCs w:val="24"/>
    </w:rPr>
  </w:style>
  <w:style w:type="paragraph" w:customStyle="1" w:styleId="xl40">
    <w:name w:val="xl40"/>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24"/>
      <w:szCs w:val="24"/>
    </w:rPr>
  </w:style>
  <w:style w:type="paragraph" w:customStyle="1" w:styleId="xl41">
    <w:name w:val="xl41"/>
    <w:basedOn w:val="Normal"/>
    <w:rsid w:val="0057490C"/>
    <w:pPr>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textAlignment w:val="top"/>
    </w:pPr>
    <w:rPr>
      <w:rFonts w:ascii="Arial" w:hAnsi="Arial" w:cs="Arial"/>
      <w:b/>
      <w:bCs/>
      <w:sz w:val="24"/>
      <w:szCs w:val="24"/>
    </w:rPr>
  </w:style>
  <w:style w:type="paragraph" w:customStyle="1" w:styleId="xl42">
    <w:name w:val="xl42"/>
    <w:basedOn w:val="Normal"/>
    <w:rsid w:val="0057490C"/>
    <w:pPr>
      <w:pBdr>
        <w:top w:val="single" w:sz="4" w:space="0" w:color="auto"/>
        <w:left w:val="single" w:sz="4" w:space="0" w:color="auto"/>
        <w:bottom w:val="single" w:sz="4" w:space="0" w:color="auto"/>
        <w:right w:val="single" w:sz="4" w:space="0" w:color="auto"/>
      </w:pBdr>
      <w:shd w:val="clear" w:color="auto" w:fill="FF99CC"/>
      <w:autoSpaceDE/>
      <w:autoSpaceDN/>
      <w:spacing w:before="100" w:beforeAutospacing="1" w:after="100" w:afterAutospacing="1"/>
      <w:textAlignment w:val="top"/>
    </w:pPr>
    <w:rPr>
      <w:rFonts w:ascii="Arial" w:hAnsi="Arial" w:cs="Arial"/>
      <w:b/>
      <w:bCs/>
      <w:sz w:val="24"/>
      <w:szCs w:val="24"/>
    </w:rPr>
  </w:style>
  <w:style w:type="paragraph" w:customStyle="1" w:styleId="xl43">
    <w:name w:val="xl43"/>
    <w:basedOn w:val="Normal"/>
    <w:rsid w:val="0057490C"/>
    <w:pPr>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textAlignment w:val="top"/>
    </w:pPr>
    <w:rPr>
      <w:rFonts w:ascii="Arial" w:hAnsi="Arial" w:cs="Arial"/>
      <w:b/>
      <w:bCs/>
      <w:sz w:val="22"/>
      <w:szCs w:val="22"/>
    </w:rPr>
  </w:style>
  <w:style w:type="paragraph" w:customStyle="1" w:styleId="xl44">
    <w:name w:val="xl44"/>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24"/>
      <w:szCs w:val="24"/>
    </w:rPr>
  </w:style>
  <w:style w:type="paragraph" w:customStyle="1" w:styleId="xl45">
    <w:name w:val="xl45"/>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24"/>
      <w:szCs w:val="24"/>
    </w:rPr>
  </w:style>
  <w:style w:type="paragraph" w:customStyle="1" w:styleId="xl46">
    <w:name w:val="xl46"/>
    <w:basedOn w:val="Normal"/>
    <w:rsid w:val="0057490C"/>
    <w:pPr>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color w:val="FF0000"/>
      <w:sz w:val="24"/>
      <w:szCs w:val="24"/>
    </w:rPr>
  </w:style>
  <w:style w:type="paragraph" w:customStyle="1" w:styleId="xl47">
    <w:name w:val="xl47"/>
    <w:basedOn w:val="Normal"/>
    <w:rsid w:val="0057490C"/>
    <w:pPr>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color w:val="FF0000"/>
      <w:sz w:val="24"/>
      <w:szCs w:val="24"/>
    </w:rPr>
  </w:style>
  <w:style w:type="paragraph" w:customStyle="1" w:styleId="xl48">
    <w:name w:val="xl48"/>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49">
    <w:name w:val="xl49"/>
    <w:basedOn w:val="Normal"/>
    <w:rsid w:val="0057490C"/>
    <w:pPr>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sz w:val="24"/>
      <w:szCs w:val="24"/>
    </w:rPr>
  </w:style>
  <w:style w:type="paragraph" w:customStyle="1" w:styleId="xl50">
    <w:name w:val="xl50"/>
    <w:basedOn w:val="Normal"/>
    <w:rsid w:val="0057490C"/>
    <w:pPr>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sz w:val="24"/>
      <w:szCs w:val="24"/>
    </w:rPr>
  </w:style>
  <w:style w:type="paragraph" w:customStyle="1" w:styleId="xl51">
    <w:name w:val="xl51"/>
    <w:basedOn w:val="Normal"/>
    <w:rsid w:val="0057490C"/>
    <w:pPr>
      <w:pBdr>
        <w:top w:val="single" w:sz="4" w:space="0" w:color="auto"/>
        <w:left w:val="single" w:sz="4" w:space="0" w:color="auto"/>
        <w:bottom w:val="single" w:sz="4" w:space="0" w:color="auto"/>
        <w:right w:val="single" w:sz="4" w:space="0" w:color="auto"/>
      </w:pBdr>
      <w:shd w:val="clear" w:color="auto" w:fill="FF99CC"/>
      <w:autoSpaceDE/>
      <w:autoSpaceDN/>
      <w:spacing w:before="100" w:beforeAutospacing="1" w:after="100" w:afterAutospacing="1"/>
      <w:jc w:val="center"/>
    </w:pPr>
    <w:rPr>
      <w:sz w:val="24"/>
      <w:szCs w:val="24"/>
    </w:rPr>
  </w:style>
  <w:style w:type="paragraph" w:customStyle="1" w:styleId="xl52">
    <w:name w:val="xl52"/>
    <w:basedOn w:val="Normal"/>
    <w:rsid w:val="0057490C"/>
    <w:pPr>
      <w:pBdr>
        <w:top w:val="single" w:sz="4" w:space="0" w:color="auto"/>
        <w:left w:val="single" w:sz="4" w:space="0" w:color="auto"/>
        <w:bottom w:val="single" w:sz="4" w:space="0" w:color="auto"/>
        <w:right w:val="single" w:sz="4" w:space="0" w:color="auto"/>
      </w:pBdr>
      <w:shd w:val="clear" w:color="auto" w:fill="FF99CC"/>
      <w:autoSpaceDE/>
      <w:autoSpaceDN/>
      <w:spacing w:before="100" w:beforeAutospacing="1" w:after="100" w:afterAutospacing="1"/>
    </w:pPr>
    <w:rPr>
      <w:sz w:val="24"/>
      <w:szCs w:val="24"/>
    </w:rPr>
  </w:style>
  <w:style w:type="paragraph" w:customStyle="1" w:styleId="xl53">
    <w:name w:val="xl53"/>
    <w:basedOn w:val="Normal"/>
    <w:rsid w:val="0057490C"/>
    <w:pPr>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jc w:val="center"/>
    </w:pPr>
    <w:rPr>
      <w:sz w:val="24"/>
      <w:szCs w:val="24"/>
    </w:rPr>
  </w:style>
  <w:style w:type="paragraph" w:customStyle="1" w:styleId="xl54">
    <w:name w:val="xl54"/>
    <w:basedOn w:val="Normal"/>
    <w:rsid w:val="0057490C"/>
    <w:pPr>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pPr>
    <w:rPr>
      <w:sz w:val="24"/>
      <w:szCs w:val="24"/>
    </w:rPr>
  </w:style>
  <w:style w:type="paragraph" w:customStyle="1" w:styleId="xl55">
    <w:name w:val="xl55"/>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56">
    <w:name w:val="xl56"/>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57">
    <w:name w:val="xl57"/>
    <w:basedOn w:val="Normal"/>
    <w:rsid w:val="0057490C"/>
    <w:pPr>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jc w:val="center"/>
    </w:pPr>
    <w:rPr>
      <w:sz w:val="24"/>
      <w:szCs w:val="24"/>
    </w:rPr>
  </w:style>
  <w:style w:type="paragraph" w:customStyle="1" w:styleId="xl58">
    <w:name w:val="xl58"/>
    <w:basedOn w:val="Normal"/>
    <w:rsid w:val="0057490C"/>
    <w:pPr>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pPr>
    <w:rPr>
      <w:sz w:val="24"/>
      <w:szCs w:val="24"/>
    </w:rPr>
  </w:style>
  <w:style w:type="paragraph" w:customStyle="1" w:styleId="xl59">
    <w:name w:val="xl59"/>
    <w:basedOn w:val="Normal"/>
    <w:rsid w:val="0057490C"/>
    <w:pPr>
      <w:pBdr>
        <w:top w:val="single" w:sz="4" w:space="0" w:color="auto"/>
        <w:left w:val="single" w:sz="4" w:space="0" w:color="auto"/>
        <w:bottom w:val="single" w:sz="4" w:space="0" w:color="auto"/>
        <w:right w:val="single" w:sz="4" w:space="0" w:color="auto"/>
      </w:pBdr>
      <w:shd w:val="clear" w:color="auto" w:fill="CCFFFF"/>
      <w:autoSpaceDE/>
      <w:autoSpaceDN/>
      <w:spacing w:before="100" w:beforeAutospacing="1" w:after="100" w:afterAutospacing="1"/>
      <w:jc w:val="center"/>
    </w:pPr>
    <w:rPr>
      <w:sz w:val="24"/>
      <w:szCs w:val="24"/>
    </w:rPr>
  </w:style>
  <w:style w:type="paragraph" w:customStyle="1" w:styleId="xl60">
    <w:name w:val="xl60"/>
    <w:basedOn w:val="Normal"/>
    <w:rsid w:val="0057490C"/>
    <w:pPr>
      <w:pBdr>
        <w:top w:val="single" w:sz="4" w:space="0" w:color="auto"/>
        <w:left w:val="single" w:sz="4" w:space="0" w:color="auto"/>
        <w:bottom w:val="single" w:sz="4" w:space="0" w:color="auto"/>
        <w:right w:val="single" w:sz="4" w:space="0" w:color="auto"/>
      </w:pBdr>
      <w:shd w:val="clear" w:color="auto" w:fill="CCFFFF"/>
      <w:autoSpaceDE/>
      <w:autoSpaceDN/>
      <w:spacing w:before="100" w:beforeAutospacing="1" w:after="100" w:afterAutospacing="1"/>
    </w:pPr>
    <w:rPr>
      <w:sz w:val="24"/>
      <w:szCs w:val="24"/>
    </w:rPr>
  </w:style>
  <w:style w:type="paragraph" w:customStyle="1" w:styleId="xl61">
    <w:name w:val="xl61"/>
    <w:basedOn w:val="Normal"/>
    <w:rsid w:val="0057490C"/>
    <w:pPr>
      <w:pBdr>
        <w:top w:val="single" w:sz="4" w:space="0" w:color="auto"/>
        <w:left w:val="single" w:sz="4" w:space="0" w:color="auto"/>
        <w:bottom w:val="single" w:sz="4" w:space="0" w:color="auto"/>
        <w:right w:val="single" w:sz="4" w:space="0" w:color="auto"/>
      </w:pBdr>
      <w:shd w:val="clear" w:color="auto" w:fill="FFFF99"/>
      <w:autoSpaceDE/>
      <w:autoSpaceDN/>
      <w:spacing w:before="100" w:beforeAutospacing="1" w:after="100" w:afterAutospacing="1"/>
      <w:jc w:val="center"/>
    </w:pPr>
    <w:rPr>
      <w:sz w:val="24"/>
      <w:szCs w:val="24"/>
    </w:rPr>
  </w:style>
  <w:style w:type="paragraph" w:customStyle="1" w:styleId="xl62">
    <w:name w:val="xl62"/>
    <w:basedOn w:val="Normal"/>
    <w:rsid w:val="0057490C"/>
    <w:pPr>
      <w:pBdr>
        <w:top w:val="single" w:sz="4" w:space="0" w:color="auto"/>
        <w:left w:val="single" w:sz="4" w:space="0" w:color="auto"/>
        <w:bottom w:val="single" w:sz="4" w:space="0" w:color="auto"/>
        <w:right w:val="single" w:sz="4" w:space="0" w:color="auto"/>
      </w:pBdr>
      <w:shd w:val="clear" w:color="auto" w:fill="FFFF99"/>
      <w:autoSpaceDE/>
      <w:autoSpaceDN/>
      <w:spacing w:before="100" w:beforeAutospacing="1" w:after="100" w:afterAutospacing="1"/>
    </w:pPr>
    <w:rPr>
      <w:sz w:val="24"/>
      <w:szCs w:val="24"/>
    </w:rPr>
  </w:style>
  <w:style w:type="paragraph" w:customStyle="1" w:styleId="xl63">
    <w:name w:val="xl63"/>
    <w:basedOn w:val="Normal"/>
    <w:rsid w:val="0057490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character" w:customStyle="1" w:styleId="Heading2Char">
    <w:name w:val="Heading 2 Char"/>
    <w:link w:val="Heading2"/>
    <w:rsid w:val="00CD4154"/>
    <w:rPr>
      <w:rFonts w:cs="Garamond"/>
      <w:bCs/>
      <w:smallCaps/>
      <w:sz w:val="36"/>
      <w:szCs w:val="24"/>
      <w:lang w:eastAsia="en-US"/>
    </w:rPr>
  </w:style>
  <w:style w:type="paragraph" w:styleId="TOC1">
    <w:name w:val="toc 1"/>
    <w:basedOn w:val="Normal"/>
    <w:next w:val="Normal"/>
    <w:autoRedefine/>
    <w:uiPriority w:val="39"/>
    <w:qFormat/>
    <w:rsid w:val="007A50E1"/>
    <w:pPr>
      <w:tabs>
        <w:tab w:val="right" w:leader="dot" w:pos="9926"/>
      </w:tabs>
    </w:pPr>
    <w:rPr>
      <w:b/>
      <w:bCs/>
      <w:caps/>
      <w:noProo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2">
    <w:name w:val="toc 2"/>
    <w:basedOn w:val="Normal"/>
    <w:next w:val="Normal"/>
    <w:autoRedefine/>
    <w:uiPriority w:val="39"/>
    <w:qFormat/>
    <w:rsid w:val="001A6642"/>
    <w:pPr>
      <w:tabs>
        <w:tab w:val="left" w:pos="880"/>
        <w:tab w:val="right" w:leader="dot" w:pos="9926"/>
      </w:tabs>
      <w:spacing w:before="100" w:beforeAutospacing="1" w:after="100" w:afterAutospacing="1"/>
      <w:ind w:left="720" w:hanging="180"/>
    </w:pPr>
    <w:rPr>
      <w:rFonts w:cs="Garamond"/>
      <w:bCs/>
      <w:smallCaps/>
      <w:noProof/>
      <w:sz w:val="28"/>
      <w:szCs w:val="28"/>
    </w:rPr>
  </w:style>
  <w:style w:type="paragraph" w:styleId="TOC3">
    <w:name w:val="toc 3"/>
    <w:basedOn w:val="Normal"/>
    <w:next w:val="Normal"/>
    <w:autoRedefine/>
    <w:uiPriority w:val="39"/>
    <w:qFormat/>
    <w:rsid w:val="0070224F"/>
    <w:pPr>
      <w:tabs>
        <w:tab w:val="right" w:leader="dot" w:pos="9926"/>
      </w:tabs>
      <w:ind w:left="1440"/>
    </w:pPr>
    <w:rPr>
      <w:noProof/>
    </w:rPr>
  </w:style>
  <w:style w:type="character" w:customStyle="1" w:styleId="ti">
    <w:name w:val="ti"/>
    <w:basedOn w:val="DefaultParagraphFont"/>
    <w:rsid w:val="00B909C1"/>
  </w:style>
  <w:style w:type="character" w:customStyle="1" w:styleId="entry">
    <w:name w:val="entry"/>
    <w:basedOn w:val="DefaultParagraphFont"/>
    <w:rsid w:val="00F36F2C"/>
  </w:style>
  <w:style w:type="character" w:customStyle="1" w:styleId="hit1">
    <w:name w:val="hit1"/>
    <w:basedOn w:val="DefaultParagraphFont"/>
    <w:rsid w:val="00F36F2C"/>
  </w:style>
  <w:style w:type="character" w:customStyle="1" w:styleId="apple-style-span">
    <w:name w:val="apple-style-span"/>
    <w:basedOn w:val="DefaultParagraphFont"/>
    <w:rsid w:val="00C54B00"/>
  </w:style>
  <w:style w:type="paragraph" w:customStyle="1" w:styleId="ColorfulList-Accent11">
    <w:name w:val="Colorful List - Accent 11"/>
    <w:basedOn w:val="Normal"/>
    <w:uiPriority w:val="34"/>
    <w:qFormat/>
    <w:rsid w:val="00E33421"/>
    <w:pPr>
      <w:ind w:left="720"/>
      <w:contextualSpacing/>
    </w:pPr>
  </w:style>
  <w:style w:type="paragraph" w:styleId="ListParagraph">
    <w:name w:val="List Paragraph"/>
    <w:basedOn w:val="Normal"/>
    <w:uiPriority w:val="34"/>
    <w:qFormat/>
    <w:rsid w:val="00AA5A29"/>
    <w:pPr>
      <w:ind w:left="720"/>
    </w:pPr>
  </w:style>
  <w:style w:type="paragraph" w:styleId="TOCHeading">
    <w:name w:val="TOC Heading"/>
    <w:basedOn w:val="Heading1"/>
    <w:next w:val="Normal"/>
    <w:uiPriority w:val="39"/>
    <w:unhideWhenUsed/>
    <w:qFormat/>
    <w:rsid w:val="007A4FC1"/>
    <w:pPr>
      <w:keepLines/>
      <w:autoSpaceDE/>
      <w:autoSpaceDN/>
      <w:spacing w:before="480" w:line="276" w:lineRule="auto"/>
      <w:outlineLvl w:val="9"/>
    </w:pPr>
    <w:rPr>
      <w:rFonts w:asciiTheme="majorHAnsi" w:eastAsiaTheme="majorEastAsia" w:hAnsiTheme="majorHAnsi" w:cstheme="majorBidi"/>
      <w:b w:val="0"/>
      <w:bCs w:val="0"/>
      <w:color w:val="365F91" w:themeColor="accent1" w:themeShade="BF"/>
      <w:sz w:val="28"/>
      <w:szCs w:val="28"/>
    </w:rPr>
  </w:style>
  <w:style w:type="character" w:customStyle="1" w:styleId="BodyTextIndent3Char">
    <w:name w:val="Body Text Indent 3 Char"/>
    <w:basedOn w:val="DefaultParagraphFont"/>
    <w:link w:val="BodyTextIndent3"/>
    <w:rsid w:val="008071EE"/>
    <w:rPr>
      <w:sz w:val="24"/>
      <w:szCs w:val="24"/>
      <w:lang w:eastAsia="en-US"/>
    </w:rPr>
  </w:style>
  <w:style w:type="character" w:customStyle="1" w:styleId="text-primary">
    <w:name w:val="text-primary"/>
    <w:basedOn w:val="DefaultParagraphFont"/>
    <w:rsid w:val="004137F7"/>
  </w:style>
  <w:style w:type="character" w:styleId="Emphasis">
    <w:name w:val="Emphasis"/>
    <w:basedOn w:val="DefaultParagraphFont"/>
    <w:qFormat/>
    <w:rsid w:val="0014723D"/>
    <w:rPr>
      <w:i/>
      <w:iCs/>
    </w:rPr>
  </w:style>
  <w:style w:type="character" w:customStyle="1" w:styleId="black">
    <w:name w:val="black"/>
    <w:basedOn w:val="DefaultParagraphFont"/>
    <w:rsid w:val="00864AA3"/>
  </w:style>
  <w:style w:type="paragraph" w:customStyle="1" w:styleId="Default">
    <w:name w:val="Default"/>
    <w:rsid w:val="00844EAF"/>
    <w:pPr>
      <w:autoSpaceDE w:val="0"/>
      <w:autoSpaceDN w:val="0"/>
      <w:adjustRightInd w:val="0"/>
    </w:pPr>
    <w:rPr>
      <w:rFonts w:ascii="Minion Pro" w:hAnsi="Minion Pro" w:cs="Minion Pro"/>
      <w:color w:val="000000"/>
      <w:sz w:val="24"/>
      <w:szCs w:val="24"/>
    </w:rPr>
  </w:style>
  <w:style w:type="paragraph" w:styleId="Revision">
    <w:name w:val="Revision"/>
    <w:hidden/>
    <w:uiPriority w:val="71"/>
    <w:semiHidden/>
    <w:rsid w:val="009A5F90"/>
    <w:rPr>
      <w:lang w:eastAsia="en-US"/>
    </w:rPr>
  </w:style>
  <w:style w:type="paragraph" w:styleId="Caption">
    <w:name w:val="caption"/>
    <w:basedOn w:val="Normal"/>
    <w:next w:val="Normal"/>
    <w:unhideWhenUsed/>
    <w:qFormat/>
    <w:rsid w:val="00726EBD"/>
    <w:pPr>
      <w:spacing w:after="200"/>
    </w:pPr>
    <w:rPr>
      <w:i/>
      <w:iCs/>
      <w:color w:val="1F497D" w:themeColor="text2"/>
      <w:sz w:val="18"/>
      <w:szCs w:val="18"/>
    </w:rPr>
  </w:style>
  <w:style w:type="character" w:customStyle="1" w:styleId="CommentTextChar">
    <w:name w:val="Comment Text Char"/>
    <w:basedOn w:val="DefaultParagraphFont"/>
    <w:link w:val="CommentText"/>
    <w:rsid w:val="00C30D8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718123">
      <w:bodyDiv w:val="1"/>
      <w:marLeft w:val="0"/>
      <w:marRight w:val="0"/>
      <w:marTop w:val="0"/>
      <w:marBottom w:val="0"/>
      <w:divBdr>
        <w:top w:val="none" w:sz="0" w:space="0" w:color="auto"/>
        <w:left w:val="none" w:sz="0" w:space="0" w:color="auto"/>
        <w:bottom w:val="none" w:sz="0" w:space="0" w:color="auto"/>
        <w:right w:val="none" w:sz="0" w:space="0" w:color="auto"/>
      </w:divBdr>
    </w:div>
    <w:div w:id="26637922">
      <w:bodyDiv w:val="1"/>
      <w:marLeft w:val="0"/>
      <w:marRight w:val="0"/>
      <w:marTop w:val="0"/>
      <w:marBottom w:val="0"/>
      <w:divBdr>
        <w:top w:val="none" w:sz="0" w:space="0" w:color="auto"/>
        <w:left w:val="none" w:sz="0" w:space="0" w:color="auto"/>
        <w:bottom w:val="none" w:sz="0" w:space="0" w:color="auto"/>
        <w:right w:val="none" w:sz="0" w:space="0" w:color="auto"/>
      </w:divBdr>
    </w:div>
    <w:div w:id="59838314">
      <w:bodyDiv w:val="1"/>
      <w:marLeft w:val="0"/>
      <w:marRight w:val="0"/>
      <w:marTop w:val="0"/>
      <w:marBottom w:val="0"/>
      <w:divBdr>
        <w:top w:val="none" w:sz="0" w:space="0" w:color="auto"/>
        <w:left w:val="none" w:sz="0" w:space="0" w:color="auto"/>
        <w:bottom w:val="none" w:sz="0" w:space="0" w:color="auto"/>
        <w:right w:val="none" w:sz="0" w:space="0" w:color="auto"/>
      </w:divBdr>
    </w:div>
    <w:div w:id="176774119">
      <w:bodyDiv w:val="1"/>
      <w:marLeft w:val="0"/>
      <w:marRight w:val="0"/>
      <w:marTop w:val="0"/>
      <w:marBottom w:val="0"/>
      <w:divBdr>
        <w:top w:val="none" w:sz="0" w:space="0" w:color="auto"/>
        <w:left w:val="none" w:sz="0" w:space="0" w:color="auto"/>
        <w:bottom w:val="none" w:sz="0" w:space="0" w:color="auto"/>
        <w:right w:val="none" w:sz="0" w:space="0" w:color="auto"/>
      </w:divBdr>
    </w:div>
    <w:div w:id="255403165">
      <w:bodyDiv w:val="1"/>
      <w:marLeft w:val="0"/>
      <w:marRight w:val="0"/>
      <w:marTop w:val="0"/>
      <w:marBottom w:val="0"/>
      <w:divBdr>
        <w:top w:val="none" w:sz="0" w:space="0" w:color="auto"/>
        <w:left w:val="none" w:sz="0" w:space="0" w:color="auto"/>
        <w:bottom w:val="none" w:sz="0" w:space="0" w:color="auto"/>
        <w:right w:val="none" w:sz="0" w:space="0" w:color="auto"/>
      </w:divBdr>
    </w:div>
    <w:div w:id="328295564">
      <w:bodyDiv w:val="1"/>
      <w:marLeft w:val="0"/>
      <w:marRight w:val="0"/>
      <w:marTop w:val="0"/>
      <w:marBottom w:val="0"/>
      <w:divBdr>
        <w:top w:val="none" w:sz="0" w:space="0" w:color="auto"/>
        <w:left w:val="none" w:sz="0" w:space="0" w:color="auto"/>
        <w:bottom w:val="none" w:sz="0" w:space="0" w:color="auto"/>
        <w:right w:val="none" w:sz="0" w:space="0" w:color="auto"/>
      </w:divBdr>
    </w:div>
    <w:div w:id="358703277">
      <w:bodyDiv w:val="1"/>
      <w:marLeft w:val="0"/>
      <w:marRight w:val="0"/>
      <w:marTop w:val="0"/>
      <w:marBottom w:val="0"/>
      <w:divBdr>
        <w:top w:val="none" w:sz="0" w:space="0" w:color="auto"/>
        <w:left w:val="none" w:sz="0" w:space="0" w:color="auto"/>
        <w:bottom w:val="none" w:sz="0" w:space="0" w:color="auto"/>
        <w:right w:val="none" w:sz="0" w:space="0" w:color="auto"/>
      </w:divBdr>
    </w:div>
    <w:div w:id="444420317">
      <w:bodyDiv w:val="1"/>
      <w:marLeft w:val="0"/>
      <w:marRight w:val="0"/>
      <w:marTop w:val="0"/>
      <w:marBottom w:val="0"/>
      <w:divBdr>
        <w:top w:val="none" w:sz="0" w:space="0" w:color="auto"/>
        <w:left w:val="none" w:sz="0" w:space="0" w:color="auto"/>
        <w:bottom w:val="none" w:sz="0" w:space="0" w:color="auto"/>
        <w:right w:val="none" w:sz="0" w:space="0" w:color="auto"/>
      </w:divBdr>
    </w:div>
    <w:div w:id="467825279">
      <w:bodyDiv w:val="1"/>
      <w:marLeft w:val="0"/>
      <w:marRight w:val="0"/>
      <w:marTop w:val="0"/>
      <w:marBottom w:val="0"/>
      <w:divBdr>
        <w:top w:val="none" w:sz="0" w:space="0" w:color="auto"/>
        <w:left w:val="none" w:sz="0" w:space="0" w:color="auto"/>
        <w:bottom w:val="none" w:sz="0" w:space="0" w:color="auto"/>
        <w:right w:val="none" w:sz="0" w:space="0" w:color="auto"/>
      </w:divBdr>
    </w:div>
    <w:div w:id="512650825">
      <w:bodyDiv w:val="1"/>
      <w:marLeft w:val="0"/>
      <w:marRight w:val="0"/>
      <w:marTop w:val="0"/>
      <w:marBottom w:val="0"/>
      <w:divBdr>
        <w:top w:val="none" w:sz="0" w:space="0" w:color="auto"/>
        <w:left w:val="none" w:sz="0" w:space="0" w:color="auto"/>
        <w:bottom w:val="none" w:sz="0" w:space="0" w:color="auto"/>
        <w:right w:val="none" w:sz="0" w:space="0" w:color="auto"/>
      </w:divBdr>
    </w:div>
    <w:div w:id="545796041">
      <w:bodyDiv w:val="1"/>
      <w:marLeft w:val="0"/>
      <w:marRight w:val="0"/>
      <w:marTop w:val="0"/>
      <w:marBottom w:val="0"/>
      <w:divBdr>
        <w:top w:val="none" w:sz="0" w:space="0" w:color="auto"/>
        <w:left w:val="none" w:sz="0" w:space="0" w:color="auto"/>
        <w:bottom w:val="none" w:sz="0" w:space="0" w:color="auto"/>
        <w:right w:val="none" w:sz="0" w:space="0" w:color="auto"/>
      </w:divBdr>
    </w:div>
    <w:div w:id="571551483">
      <w:bodyDiv w:val="1"/>
      <w:marLeft w:val="0"/>
      <w:marRight w:val="0"/>
      <w:marTop w:val="0"/>
      <w:marBottom w:val="0"/>
      <w:divBdr>
        <w:top w:val="none" w:sz="0" w:space="0" w:color="auto"/>
        <w:left w:val="none" w:sz="0" w:space="0" w:color="auto"/>
        <w:bottom w:val="none" w:sz="0" w:space="0" w:color="auto"/>
        <w:right w:val="none" w:sz="0" w:space="0" w:color="auto"/>
      </w:divBdr>
    </w:div>
    <w:div w:id="590968677">
      <w:bodyDiv w:val="1"/>
      <w:marLeft w:val="0"/>
      <w:marRight w:val="0"/>
      <w:marTop w:val="0"/>
      <w:marBottom w:val="0"/>
      <w:divBdr>
        <w:top w:val="none" w:sz="0" w:space="0" w:color="auto"/>
        <w:left w:val="none" w:sz="0" w:space="0" w:color="auto"/>
        <w:bottom w:val="none" w:sz="0" w:space="0" w:color="auto"/>
        <w:right w:val="none" w:sz="0" w:space="0" w:color="auto"/>
      </w:divBdr>
    </w:div>
    <w:div w:id="597982817">
      <w:bodyDiv w:val="1"/>
      <w:marLeft w:val="0"/>
      <w:marRight w:val="0"/>
      <w:marTop w:val="0"/>
      <w:marBottom w:val="0"/>
      <w:divBdr>
        <w:top w:val="none" w:sz="0" w:space="0" w:color="auto"/>
        <w:left w:val="none" w:sz="0" w:space="0" w:color="auto"/>
        <w:bottom w:val="none" w:sz="0" w:space="0" w:color="auto"/>
        <w:right w:val="none" w:sz="0" w:space="0" w:color="auto"/>
      </w:divBdr>
    </w:div>
    <w:div w:id="615064183">
      <w:bodyDiv w:val="1"/>
      <w:marLeft w:val="0"/>
      <w:marRight w:val="0"/>
      <w:marTop w:val="0"/>
      <w:marBottom w:val="0"/>
      <w:divBdr>
        <w:top w:val="none" w:sz="0" w:space="0" w:color="auto"/>
        <w:left w:val="none" w:sz="0" w:space="0" w:color="auto"/>
        <w:bottom w:val="none" w:sz="0" w:space="0" w:color="auto"/>
        <w:right w:val="none" w:sz="0" w:space="0" w:color="auto"/>
      </w:divBdr>
    </w:div>
    <w:div w:id="615335230">
      <w:bodyDiv w:val="1"/>
      <w:marLeft w:val="0"/>
      <w:marRight w:val="0"/>
      <w:marTop w:val="0"/>
      <w:marBottom w:val="0"/>
      <w:divBdr>
        <w:top w:val="none" w:sz="0" w:space="0" w:color="auto"/>
        <w:left w:val="none" w:sz="0" w:space="0" w:color="auto"/>
        <w:bottom w:val="none" w:sz="0" w:space="0" w:color="auto"/>
        <w:right w:val="none" w:sz="0" w:space="0" w:color="auto"/>
      </w:divBdr>
    </w:div>
    <w:div w:id="662928246">
      <w:bodyDiv w:val="1"/>
      <w:marLeft w:val="0"/>
      <w:marRight w:val="0"/>
      <w:marTop w:val="0"/>
      <w:marBottom w:val="0"/>
      <w:divBdr>
        <w:top w:val="none" w:sz="0" w:space="0" w:color="auto"/>
        <w:left w:val="none" w:sz="0" w:space="0" w:color="auto"/>
        <w:bottom w:val="none" w:sz="0" w:space="0" w:color="auto"/>
        <w:right w:val="none" w:sz="0" w:space="0" w:color="auto"/>
      </w:divBdr>
    </w:div>
    <w:div w:id="665473486">
      <w:bodyDiv w:val="1"/>
      <w:marLeft w:val="0"/>
      <w:marRight w:val="0"/>
      <w:marTop w:val="0"/>
      <w:marBottom w:val="0"/>
      <w:divBdr>
        <w:top w:val="none" w:sz="0" w:space="0" w:color="auto"/>
        <w:left w:val="none" w:sz="0" w:space="0" w:color="auto"/>
        <w:bottom w:val="none" w:sz="0" w:space="0" w:color="auto"/>
        <w:right w:val="none" w:sz="0" w:space="0" w:color="auto"/>
      </w:divBdr>
    </w:div>
    <w:div w:id="685180187">
      <w:bodyDiv w:val="1"/>
      <w:marLeft w:val="0"/>
      <w:marRight w:val="0"/>
      <w:marTop w:val="0"/>
      <w:marBottom w:val="0"/>
      <w:divBdr>
        <w:top w:val="none" w:sz="0" w:space="0" w:color="auto"/>
        <w:left w:val="none" w:sz="0" w:space="0" w:color="auto"/>
        <w:bottom w:val="none" w:sz="0" w:space="0" w:color="auto"/>
        <w:right w:val="none" w:sz="0" w:space="0" w:color="auto"/>
      </w:divBdr>
    </w:div>
    <w:div w:id="727149783">
      <w:bodyDiv w:val="1"/>
      <w:marLeft w:val="0"/>
      <w:marRight w:val="0"/>
      <w:marTop w:val="0"/>
      <w:marBottom w:val="0"/>
      <w:divBdr>
        <w:top w:val="none" w:sz="0" w:space="0" w:color="auto"/>
        <w:left w:val="none" w:sz="0" w:space="0" w:color="auto"/>
        <w:bottom w:val="none" w:sz="0" w:space="0" w:color="auto"/>
        <w:right w:val="none" w:sz="0" w:space="0" w:color="auto"/>
      </w:divBdr>
    </w:div>
    <w:div w:id="742024771">
      <w:bodyDiv w:val="1"/>
      <w:marLeft w:val="0"/>
      <w:marRight w:val="0"/>
      <w:marTop w:val="0"/>
      <w:marBottom w:val="0"/>
      <w:divBdr>
        <w:top w:val="none" w:sz="0" w:space="0" w:color="auto"/>
        <w:left w:val="none" w:sz="0" w:space="0" w:color="auto"/>
        <w:bottom w:val="none" w:sz="0" w:space="0" w:color="auto"/>
        <w:right w:val="none" w:sz="0" w:space="0" w:color="auto"/>
      </w:divBdr>
      <w:divsChild>
        <w:div w:id="1054160804">
          <w:marLeft w:val="547"/>
          <w:marRight w:val="0"/>
          <w:marTop w:val="0"/>
          <w:marBottom w:val="0"/>
          <w:divBdr>
            <w:top w:val="none" w:sz="0" w:space="0" w:color="auto"/>
            <w:left w:val="none" w:sz="0" w:space="0" w:color="auto"/>
            <w:bottom w:val="none" w:sz="0" w:space="0" w:color="auto"/>
            <w:right w:val="none" w:sz="0" w:space="0" w:color="auto"/>
          </w:divBdr>
        </w:div>
      </w:divsChild>
    </w:div>
    <w:div w:id="800149441">
      <w:bodyDiv w:val="1"/>
      <w:marLeft w:val="0"/>
      <w:marRight w:val="0"/>
      <w:marTop w:val="0"/>
      <w:marBottom w:val="0"/>
      <w:divBdr>
        <w:top w:val="none" w:sz="0" w:space="0" w:color="auto"/>
        <w:left w:val="none" w:sz="0" w:space="0" w:color="auto"/>
        <w:bottom w:val="none" w:sz="0" w:space="0" w:color="auto"/>
        <w:right w:val="none" w:sz="0" w:space="0" w:color="auto"/>
      </w:divBdr>
    </w:div>
    <w:div w:id="809401030">
      <w:bodyDiv w:val="1"/>
      <w:marLeft w:val="0"/>
      <w:marRight w:val="0"/>
      <w:marTop w:val="0"/>
      <w:marBottom w:val="0"/>
      <w:divBdr>
        <w:top w:val="none" w:sz="0" w:space="0" w:color="auto"/>
        <w:left w:val="none" w:sz="0" w:space="0" w:color="auto"/>
        <w:bottom w:val="none" w:sz="0" w:space="0" w:color="auto"/>
        <w:right w:val="none" w:sz="0" w:space="0" w:color="auto"/>
      </w:divBdr>
    </w:div>
    <w:div w:id="826433747">
      <w:bodyDiv w:val="1"/>
      <w:marLeft w:val="0"/>
      <w:marRight w:val="0"/>
      <w:marTop w:val="0"/>
      <w:marBottom w:val="0"/>
      <w:divBdr>
        <w:top w:val="none" w:sz="0" w:space="0" w:color="auto"/>
        <w:left w:val="none" w:sz="0" w:space="0" w:color="auto"/>
        <w:bottom w:val="none" w:sz="0" w:space="0" w:color="auto"/>
        <w:right w:val="none" w:sz="0" w:space="0" w:color="auto"/>
      </w:divBdr>
    </w:div>
    <w:div w:id="830484627">
      <w:bodyDiv w:val="1"/>
      <w:marLeft w:val="0"/>
      <w:marRight w:val="0"/>
      <w:marTop w:val="0"/>
      <w:marBottom w:val="0"/>
      <w:divBdr>
        <w:top w:val="none" w:sz="0" w:space="0" w:color="auto"/>
        <w:left w:val="none" w:sz="0" w:space="0" w:color="auto"/>
        <w:bottom w:val="none" w:sz="0" w:space="0" w:color="auto"/>
        <w:right w:val="none" w:sz="0" w:space="0" w:color="auto"/>
      </w:divBdr>
    </w:div>
    <w:div w:id="831525486">
      <w:bodyDiv w:val="1"/>
      <w:marLeft w:val="0"/>
      <w:marRight w:val="0"/>
      <w:marTop w:val="0"/>
      <w:marBottom w:val="0"/>
      <w:divBdr>
        <w:top w:val="none" w:sz="0" w:space="0" w:color="auto"/>
        <w:left w:val="none" w:sz="0" w:space="0" w:color="auto"/>
        <w:bottom w:val="none" w:sz="0" w:space="0" w:color="auto"/>
        <w:right w:val="none" w:sz="0" w:space="0" w:color="auto"/>
      </w:divBdr>
    </w:div>
    <w:div w:id="833959360">
      <w:bodyDiv w:val="1"/>
      <w:marLeft w:val="0"/>
      <w:marRight w:val="0"/>
      <w:marTop w:val="0"/>
      <w:marBottom w:val="0"/>
      <w:divBdr>
        <w:top w:val="none" w:sz="0" w:space="0" w:color="auto"/>
        <w:left w:val="none" w:sz="0" w:space="0" w:color="auto"/>
        <w:bottom w:val="none" w:sz="0" w:space="0" w:color="auto"/>
        <w:right w:val="none" w:sz="0" w:space="0" w:color="auto"/>
      </w:divBdr>
    </w:div>
    <w:div w:id="854198427">
      <w:bodyDiv w:val="1"/>
      <w:marLeft w:val="0"/>
      <w:marRight w:val="0"/>
      <w:marTop w:val="0"/>
      <w:marBottom w:val="0"/>
      <w:divBdr>
        <w:top w:val="none" w:sz="0" w:space="0" w:color="auto"/>
        <w:left w:val="none" w:sz="0" w:space="0" w:color="auto"/>
        <w:bottom w:val="none" w:sz="0" w:space="0" w:color="auto"/>
        <w:right w:val="none" w:sz="0" w:space="0" w:color="auto"/>
      </w:divBdr>
    </w:div>
    <w:div w:id="865605677">
      <w:bodyDiv w:val="1"/>
      <w:marLeft w:val="0"/>
      <w:marRight w:val="0"/>
      <w:marTop w:val="0"/>
      <w:marBottom w:val="0"/>
      <w:divBdr>
        <w:top w:val="none" w:sz="0" w:space="0" w:color="auto"/>
        <w:left w:val="none" w:sz="0" w:space="0" w:color="auto"/>
        <w:bottom w:val="none" w:sz="0" w:space="0" w:color="auto"/>
        <w:right w:val="none" w:sz="0" w:space="0" w:color="auto"/>
      </w:divBdr>
    </w:div>
    <w:div w:id="884371104">
      <w:bodyDiv w:val="1"/>
      <w:marLeft w:val="0"/>
      <w:marRight w:val="0"/>
      <w:marTop w:val="0"/>
      <w:marBottom w:val="0"/>
      <w:divBdr>
        <w:top w:val="none" w:sz="0" w:space="0" w:color="auto"/>
        <w:left w:val="none" w:sz="0" w:space="0" w:color="auto"/>
        <w:bottom w:val="none" w:sz="0" w:space="0" w:color="auto"/>
        <w:right w:val="none" w:sz="0" w:space="0" w:color="auto"/>
      </w:divBdr>
    </w:div>
    <w:div w:id="890700900">
      <w:bodyDiv w:val="1"/>
      <w:marLeft w:val="0"/>
      <w:marRight w:val="0"/>
      <w:marTop w:val="0"/>
      <w:marBottom w:val="0"/>
      <w:divBdr>
        <w:top w:val="none" w:sz="0" w:space="0" w:color="auto"/>
        <w:left w:val="none" w:sz="0" w:space="0" w:color="auto"/>
        <w:bottom w:val="none" w:sz="0" w:space="0" w:color="auto"/>
        <w:right w:val="none" w:sz="0" w:space="0" w:color="auto"/>
      </w:divBdr>
    </w:div>
    <w:div w:id="922641946">
      <w:bodyDiv w:val="1"/>
      <w:marLeft w:val="0"/>
      <w:marRight w:val="0"/>
      <w:marTop w:val="0"/>
      <w:marBottom w:val="0"/>
      <w:divBdr>
        <w:top w:val="none" w:sz="0" w:space="0" w:color="auto"/>
        <w:left w:val="none" w:sz="0" w:space="0" w:color="auto"/>
        <w:bottom w:val="none" w:sz="0" w:space="0" w:color="auto"/>
        <w:right w:val="none" w:sz="0" w:space="0" w:color="auto"/>
      </w:divBdr>
    </w:div>
    <w:div w:id="961765069">
      <w:bodyDiv w:val="1"/>
      <w:marLeft w:val="0"/>
      <w:marRight w:val="0"/>
      <w:marTop w:val="0"/>
      <w:marBottom w:val="0"/>
      <w:divBdr>
        <w:top w:val="none" w:sz="0" w:space="0" w:color="auto"/>
        <w:left w:val="none" w:sz="0" w:space="0" w:color="auto"/>
        <w:bottom w:val="none" w:sz="0" w:space="0" w:color="auto"/>
        <w:right w:val="none" w:sz="0" w:space="0" w:color="auto"/>
      </w:divBdr>
    </w:div>
    <w:div w:id="968509751">
      <w:bodyDiv w:val="1"/>
      <w:marLeft w:val="0"/>
      <w:marRight w:val="0"/>
      <w:marTop w:val="0"/>
      <w:marBottom w:val="0"/>
      <w:divBdr>
        <w:top w:val="none" w:sz="0" w:space="0" w:color="auto"/>
        <w:left w:val="none" w:sz="0" w:space="0" w:color="auto"/>
        <w:bottom w:val="none" w:sz="0" w:space="0" w:color="auto"/>
        <w:right w:val="none" w:sz="0" w:space="0" w:color="auto"/>
      </w:divBdr>
    </w:div>
    <w:div w:id="985008445">
      <w:bodyDiv w:val="1"/>
      <w:marLeft w:val="0"/>
      <w:marRight w:val="0"/>
      <w:marTop w:val="0"/>
      <w:marBottom w:val="0"/>
      <w:divBdr>
        <w:top w:val="none" w:sz="0" w:space="0" w:color="auto"/>
        <w:left w:val="none" w:sz="0" w:space="0" w:color="auto"/>
        <w:bottom w:val="none" w:sz="0" w:space="0" w:color="auto"/>
        <w:right w:val="none" w:sz="0" w:space="0" w:color="auto"/>
      </w:divBdr>
    </w:div>
    <w:div w:id="998997364">
      <w:bodyDiv w:val="1"/>
      <w:marLeft w:val="0"/>
      <w:marRight w:val="0"/>
      <w:marTop w:val="0"/>
      <w:marBottom w:val="0"/>
      <w:divBdr>
        <w:top w:val="none" w:sz="0" w:space="0" w:color="auto"/>
        <w:left w:val="none" w:sz="0" w:space="0" w:color="auto"/>
        <w:bottom w:val="none" w:sz="0" w:space="0" w:color="auto"/>
        <w:right w:val="none" w:sz="0" w:space="0" w:color="auto"/>
      </w:divBdr>
    </w:div>
    <w:div w:id="1036588523">
      <w:bodyDiv w:val="1"/>
      <w:marLeft w:val="0"/>
      <w:marRight w:val="0"/>
      <w:marTop w:val="0"/>
      <w:marBottom w:val="0"/>
      <w:divBdr>
        <w:top w:val="none" w:sz="0" w:space="0" w:color="auto"/>
        <w:left w:val="none" w:sz="0" w:space="0" w:color="auto"/>
        <w:bottom w:val="none" w:sz="0" w:space="0" w:color="auto"/>
        <w:right w:val="none" w:sz="0" w:space="0" w:color="auto"/>
      </w:divBdr>
    </w:div>
    <w:div w:id="1059598090">
      <w:bodyDiv w:val="1"/>
      <w:marLeft w:val="0"/>
      <w:marRight w:val="0"/>
      <w:marTop w:val="0"/>
      <w:marBottom w:val="0"/>
      <w:divBdr>
        <w:top w:val="none" w:sz="0" w:space="0" w:color="auto"/>
        <w:left w:val="none" w:sz="0" w:space="0" w:color="auto"/>
        <w:bottom w:val="none" w:sz="0" w:space="0" w:color="auto"/>
        <w:right w:val="none" w:sz="0" w:space="0" w:color="auto"/>
      </w:divBdr>
    </w:div>
    <w:div w:id="1070465058">
      <w:bodyDiv w:val="1"/>
      <w:marLeft w:val="0"/>
      <w:marRight w:val="0"/>
      <w:marTop w:val="0"/>
      <w:marBottom w:val="0"/>
      <w:divBdr>
        <w:top w:val="none" w:sz="0" w:space="0" w:color="auto"/>
        <w:left w:val="none" w:sz="0" w:space="0" w:color="auto"/>
        <w:bottom w:val="none" w:sz="0" w:space="0" w:color="auto"/>
        <w:right w:val="none" w:sz="0" w:space="0" w:color="auto"/>
      </w:divBdr>
    </w:div>
    <w:div w:id="1117093344">
      <w:bodyDiv w:val="1"/>
      <w:marLeft w:val="0"/>
      <w:marRight w:val="0"/>
      <w:marTop w:val="0"/>
      <w:marBottom w:val="0"/>
      <w:divBdr>
        <w:top w:val="none" w:sz="0" w:space="0" w:color="auto"/>
        <w:left w:val="none" w:sz="0" w:space="0" w:color="auto"/>
        <w:bottom w:val="none" w:sz="0" w:space="0" w:color="auto"/>
        <w:right w:val="none" w:sz="0" w:space="0" w:color="auto"/>
      </w:divBdr>
    </w:div>
    <w:div w:id="1137336115">
      <w:bodyDiv w:val="1"/>
      <w:marLeft w:val="0"/>
      <w:marRight w:val="0"/>
      <w:marTop w:val="0"/>
      <w:marBottom w:val="0"/>
      <w:divBdr>
        <w:top w:val="none" w:sz="0" w:space="0" w:color="auto"/>
        <w:left w:val="none" w:sz="0" w:space="0" w:color="auto"/>
        <w:bottom w:val="none" w:sz="0" w:space="0" w:color="auto"/>
        <w:right w:val="none" w:sz="0" w:space="0" w:color="auto"/>
      </w:divBdr>
    </w:div>
    <w:div w:id="1154444155">
      <w:bodyDiv w:val="1"/>
      <w:marLeft w:val="0"/>
      <w:marRight w:val="0"/>
      <w:marTop w:val="0"/>
      <w:marBottom w:val="0"/>
      <w:divBdr>
        <w:top w:val="none" w:sz="0" w:space="0" w:color="auto"/>
        <w:left w:val="none" w:sz="0" w:space="0" w:color="auto"/>
        <w:bottom w:val="none" w:sz="0" w:space="0" w:color="auto"/>
        <w:right w:val="none" w:sz="0" w:space="0" w:color="auto"/>
      </w:divBdr>
    </w:div>
    <w:div w:id="1159689289">
      <w:bodyDiv w:val="1"/>
      <w:marLeft w:val="0"/>
      <w:marRight w:val="0"/>
      <w:marTop w:val="0"/>
      <w:marBottom w:val="0"/>
      <w:divBdr>
        <w:top w:val="none" w:sz="0" w:space="0" w:color="auto"/>
        <w:left w:val="none" w:sz="0" w:space="0" w:color="auto"/>
        <w:bottom w:val="none" w:sz="0" w:space="0" w:color="auto"/>
        <w:right w:val="none" w:sz="0" w:space="0" w:color="auto"/>
      </w:divBdr>
    </w:div>
    <w:div w:id="1177648836">
      <w:bodyDiv w:val="1"/>
      <w:marLeft w:val="0"/>
      <w:marRight w:val="0"/>
      <w:marTop w:val="0"/>
      <w:marBottom w:val="0"/>
      <w:divBdr>
        <w:top w:val="none" w:sz="0" w:space="0" w:color="auto"/>
        <w:left w:val="none" w:sz="0" w:space="0" w:color="auto"/>
        <w:bottom w:val="none" w:sz="0" w:space="0" w:color="auto"/>
        <w:right w:val="none" w:sz="0" w:space="0" w:color="auto"/>
      </w:divBdr>
    </w:div>
    <w:div w:id="1249534187">
      <w:bodyDiv w:val="1"/>
      <w:marLeft w:val="0"/>
      <w:marRight w:val="0"/>
      <w:marTop w:val="0"/>
      <w:marBottom w:val="0"/>
      <w:divBdr>
        <w:top w:val="none" w:sz="0" w:space="0" w:color="auto"/>
        <w:left w:val="none" w:sz="0" w:space="0" w:color="auto"/>
        <w:bottom w:val="none" w:sz="0" w:space="0" w:color="auto"/>
        <w:right w:val="none" w:sz="0" w:space="0" w:color="auto"/>
      </w:divBdr>
    </w:div>
    <w:div w:id="1250314197">
      <w:bodyDiv w:val="1"/>
      <w:marLeft w:val="0"/>
      <w:marRight w:val="0"/>
      <w:marTop w:val="0"/>
      <w:marBottom w:val="0"/>
      <w:divBdr>
        <w:top w:val="none" w:sz="0" w:space="0" w:color="auto"/>
        <w:left w:val="none" w:sz="0" w:space="0" w:color="auto"/>
        <w:bottom w:val="none" w:sz="0" w:space="0" w:color="auto"/>
        <w:right w:val="none" w:sz="0" w:space="0" w:color="auto"/>
      </w:divBdr>
    </w:div>
    <w:div w:id="1253080960">
      <w:bodyDiv w:val="1"/>
      <w:marLeft w:val="0"/>
      <w:marRight w:val="0"/>
      <w:marTop w:val="0"/>
      <w:marBottom w:val="0"/>
      <w:divBdr>
        <w:top w:val="none" w:sz="0" w:space="0" w:color="auto"/>
        <w:left w:val="none" w:sz="0" w:space="0" w:color="auto"/>
        <w:bottom w:val="none" w:sz="0" w:space="0" w:color="auto"/>
        <w:right w:val="none" w:sz="0" w:space="0" w:color="auto"/>
      </w:divBdr>
    </w:div>
    <w:div w:id="1275088687">
      <w:bodyDiv w:val="1"/>
      <w:marLeft w:val="0"/>
      <w:marRight w:val="0"/>
      <w:marTop w:val="0"/>
      <w:marBottom w:val="0"/>
      <w:divBdr>
        <w:top w:val="none" w:sz="0" w:space="0" w:color="auto"/>
        <w:left w:val="none" w:sz="0" w:space="0" w:color="auto"/>
        <w:bottom w:val="none" w:sz="0" w:space="0" w:color="auto"/>
        <w:right w:val="none" w:sz="0" w:space="0" w:color="auto"/>
      </w:divBdr>
    </w:div>
    <w:div w:id="1316910798">
      <w:bodyDiv w:val="1"/>
      <w:marLeft w:val="0"/>
      <w:marRight w:val="0"/>
      <w:marTop w:val="0"/>
      <w:marBottom w:val="0"/>
      <w:divBdr>
        <w:top w:val="none" w:sz="0" w:space="0" w:color="auto"/>
        <w:left w:val="none" w:sz="0" w:space="0" w:color="auto"/>
        <w:bottom w:val="none" w:sz="0" w:space="0" w:color="auto"/>
        <w:right w:val="none" w:sz="0" w:space="0" w:color="auto"/>
      </w:divBdr>
    </w:div>
    <w:div w:id="1317609019">
      <w:bodyDiv w:val="1"/>
      <w:marLeft w:val="0"/>
      <w:marRight w:val="0"/>
      <w:marTop w:val="0"/>
      <w:marBottom w:val="0"/>
      <w:divBdr>
        <w:top w:val="none" w:sz="0" w:space="0" w:color="auto"/>
        <w:left w:val="none" w:sz="0" w:space="0" w:color="auto"/>
        <w:bottom w:val="none" w:sz="0" w:space="0" w:color="auto"/>
        <w:right w:val="none" w:sz="0" w:space="0" w:color="auto"/>
      </w:divBdr>
    </w:div>
    <w:div w:id="1334802091">
      <w:bodyDiv w:val="1"/>
      <w:marLeft w:val="0"/>
      <w:marRight w:val="0"/>
      <w:marTop w:val="0"/>
      <w:marBottom w:val="0"/>
      <w:divBdr>
        <w:top w:val="none" w:sz="0" w:space="0" w:color="auto"/>
        <w:left w:val="none" w:sz="0" w:space="0" w:color="auto"/>
        <w:bottom w:val="none" w:sz="0" w:space="0" w:color="auto"/>
        <w:right w:val="none" w:sz="0" w:space="0" w:color="auto"/>
      </w:divBdr>
    </w:div>
    <w:div w:id="1388795611">
      <w:bodyDiv w:val="1"/>
      <w:marLeft w:val="0"/>
      <w:marRight w:val="0"/>
      <w:marTop w:val="0"/>
      <w:marBottom w:val="0"/>
      <w:divBdr>
        <w:top w:val="none" w:sz="0" w:space="0" w:color="auto"/>
        <w:left w:val="none" w:sz="0" w:space="0" w:color="auto"/>
        <w:bottom w:val="none" w:sz="0" w:space="0" w:color="auto"/>
        <w:right w:val="none" w:sz="0" w:space="0" w:color="auto"/>
      </w:divBdr>
    </w:div>
    <w:div w:id="1415199712">
      <w:bodyDiv w:val="1"/>
      <w:marLeft w:val="0"/>
      <w:marRight w:val="0"/>
      <w:marTop w:val="0"/>
      <w:marBottom w:val="0"/>
      <w:divBdr>
        <w:top w:val="none" w:sz="0" w:space="0" w:color="auto"/>
        <w:left w:val="none" w:sz="0" w:space="0" w:color="auto"/>
        <w:bottom w:val="none" w:sz="0" w:space="0" w:color="auto"/>
        <w:right w:val="none" w:sz="0" w:space="0" w:color="auto"/>
      </w:divBdr>
    </w:div>
    <w:div w:id="1418014794">
      <w:bodyDiv w:val="1"/>
      <w:marLeft w:val="0"/>
      <w:marRight w:val="0"/>
      <w:marTop w:val="0"/>
      <w:marBottom w:val="0"/>
      <w:divBdr>
        <w:top w:val="none" w:sz="0" w:space="0" w:color="auto"/>
        <w:left w:val="none" w:sz="0" w:space="0" w:color="auto"/>
        <w:bottom w:val="none" w:sz="0" w:space="0" w:color="auto"/>
        <w:right w:val="none" w:sz="0" w:space="0" w:color="auto"/>
      </w:divBdr>
    </w:div>
    <w:div w:id="1425222570">
      <w:bodyDiv w:val="1"/>
      <w:marLeft w:val="0"/>
      <w:marRight w:val="0"/>
      <w:marTop w:val="0"/>
      <w:marBottom w:val="0"/>
      <w:divBdr>
        <w:top w:val="none" w:sz="0" w:space="0" w:color="auto"/>
        <w:left w:val="none" w:sz="0" w:space="0" w:color="auto"/>
        <w:bottom w:val="none" w:sz="0" w:space="0" w:color="auto"/>
        <w:right w:val="none" w:sz="0" w:space="0" w:color="auto"/>
      </w:divBdr>
    </w:div>
    <w:div w:id="1427070823">
      <w:bodyDiv w:val="1"/>
      <w:marLeft w:val="0"/>
      <w:marRight w:val="0"/>
      <w:marTop w:val="0"/>
      <w:marBottom w:val="0"/>
      <w:divBdr>
        <w:top w:val="none" w:sz="0" w:space="0" w:color="auto"/>
        <w:left w:val="none" w:sz="0" w:space="0" w:color="auto"/>
        <w:bottom w:val="none" w:sz="0" w:space="0" w:color="auto"/>
        <w:right w:val="none" w:sz="0" w:space="0" w:color="auto"/>
      </w:divBdr>
    </w:div>
    <w:div w:id="1440297540">
      <w:bodyDiv w:val="1"/>
      <w:marLeft w:val="0"/>
      <w:marRight w:val="0"/>
      <w:marTop w:val="0"/>
      <w:marBottom w:val="0"/>
      <w:divBdr>
        <w:top w:val="none" w:sz="0" w:space="0" w:color="auto"/>
        <w:left w:val="none" w:sz="0" w:space="0" w:color="auto"/>
        <w:bottom w:val="none" w:sz="0" w:space="0" w:color="auto"/>
        <w:right w:val="none" w:sz="0" w:space="0" w:color="auto"/>
      </w:divBdr>
      <w:divsChild>
        <w:div w:id="580217849">
          <w:marLeft w:val="547"/>
          <w:marRight w:val="0"/>
          <w:marTop w:val="0"/>
          <w:marBottom w:val="0"/>
          <w:divBdr>
            <w:top w:val="none" w:sz="0" w:space="0" w:color="auto"/>
            <w:left w:val="none" w:sz="0" w:space="0" w:color="auto"/>
            <w:bottom w:val="none" w:sz="0" w:space="0" w:color="auto"/>
            <w:right w:val="none" w:sz="0" w:space="0" w:color="auto"/>
          </w:divBdr>
        </w:div>
      </w:divsChild>
    </w:div>
    <w:div w:id="1450391987">
      <w:bodyDiv w:val="1"/>
      <w:marLeft w:val="0"/>
      <w:marRight w:val="0"/>
      <w:marTop w:val="0"/>
      <w:marBottom w:val="0"/>
      <w:divBdr>
        <w:top w:val="none" w:sz="0" w:space="0" w:color="auto"/>
        <w:left w:val="none" w:sz="0" w:space="0" w:color="auto"/>
        <w:bottom w:val="none" w:sz="0" w:space="0" w:color="auto"/>
        <w:right w:val="none" w:sz="0" w:space="0" w:color="auto"/>
      </w:divBdr>
    </w:div>
    <w:div w:id="1512524515">
      <w:bodyDiv w:val="1"/>
      <w:marLeft w:val="0"/>
      <w:marRight w:val="0"/>
      <w:marTop w:val="0"/>
      <w:marBottom w:val="0"/>
      <w:divBdr>
        <w:top w:val="none" w:sz="0" w:space="0" w:color="auto"/>
        <w:left w:val="none" w:sz="0" w:space="0" w:color="auto"/>
        <w:bottom w:val="none" w:sz="0" w:space="0" w:color="auto"/>
        <w:right w:val="none" w:sz="0" w:space="0" w:color="auto"/>
      </w:divBdr>
      <w:divsChild>
        <w:div w:id="519470268">
          <w:marLeft w:val="288"/>
          <w:marRight w:val="0"/>
          <w:marTop w:val="115"/>
          <w:marBottom w:val="0"/>
          <w:divBdr>
            <w:top w:val="none" w:sz="0" w:space="0" w:color="auto"/>
            <w:left w:val="none" w:sz="0" w:space="0" w:color="auto"/>
            <w:bottom w:val="none" w:sz="0" w:space="0" w:color="auto"/>
            <w:right w:val="none" w:sz="0" w:space="0" w:color="auto"/>
          </w:divBdr>
        </w:div>
      </w:divsChild>
    </w:div>
    <w:div w:id="1550416437">
      <w:bodyDiv w:val="1"/>
      <w:marLeft w:val="0"/>
      <w:marRight w:val="0"/>
      <w:marTop w:val="0"/>
      <w:marBottom w:val="0"/>
      <w:divBdr>
        <w:top w:val="none" w:sz="0" w:space="0" w:color="auto"/>
        <w:left w:val="none" w:sz="0" w:space="0" w:color="auto"/>
        <w:bottom w:val="none" w:sz="0" w:space="0" w:color="auto"/>
        <w:right w:val="none" w:sz="0" w:space="0" w:color="auto"/>
      </w:divBdr>
    </w:div>
    <w:div w:id="1601178328">
      <w:bodyDiv w:val="1"/>
      <w:marLeft w:val="0"/>
      <w:marRight w:val="0"/>
      <w:marTop w:val="0"/>
      <w:marBottom w:val="0"/>
      <w:divBdr>
        <w:top w:val="none" w:sz="0" w:space="0" w:color="auto"/>
        <w:left w:val="none" w:sz="0" w:space="0" w:color="auto"/>
        <w:bottom w:val="none" w:sz="0" w:space="0" w:color="auto"/>
        <w:right w:val="none" w:sz="0" w:space="0" w:color="auto"/>
      </w:divBdr>
    </w:div>
    <w:div w:id="1620137138">
      <w:bodyDiv w:val="1"/>
      <w:marLeft w:val="0"/>
      <w:marRight w:val="0"/>
      <w:marTop w:val="0"/>
      <w:marBottom w:val="0"/>
      <w:divBdr>
        <w:top w:val="none" w:sz="0" w:space="0" w:color="auto"/>
        <w:left w:val="none" w:sz="0" w:space="0" w:color="auto"/>
        <w:bottom w:val="none" w:sz="0" w:space="0" w:color="auto"/>
        <w:right w:val="none" w:sz="0" w:space="0" w:color="auto"/>
      </w:divBdr>
    </w:div>
    <w:div w:id="1625692919">
      <w:bodyDiv w:val="1"/>
      <w:marLeft w:val="0"/>
      <w:marRight w:val="0"/>
      <w:marTop w:val="0"/>
      <w:marBottom w:val="0"/>
      <w:divBdr>
        <w:top w:val="none" w:sz="0" w:space="0" w:color="auto"/>
        <w:left w:val="none" w:sz="0" w:space="0" w:color="auto"/>
        <w:bottom w:val="none" w:sz="0" w:space="0" w:color="auto"/>
        <w:right w:val="none" w:sz="0" w:space="0" w:color="auto"/>
      </w:divBdr>
    </w:div>
    <w:div w:id="1651782897">
      <w:bodyDiv w:val="1"/>
      <w:marLeft w:val="0"/>
      <w:marRight w:val="0"/>
      <w:marTop w:val="0"/>
      <w:marBottom w:val="0"/>
      <w:divBdr>
        <w:top w:val="none" w:sz="0" w:space="0" w:color="auto"/>
        <w:left w:val="none" w:sz="0" w:space="0" w:color="auto"/>
        <w:bottom w:val="none" w:sz="0" w:space="0" w:color="auto"/>
        <w:right w:val="none" w:sz="0" w:space="0" w:color="auto"/>
      </w:divBdr>
    </w:div>
    <w:div w:id="1698850119">
      <w:bodyDiv w:val="1"/>
      <w:marLeft w:val="0"/>
      <w:marRight w:val="0"/>
      <w:marTop w:val="0"/>
      <w:marBottom w:val="0"/>
      <w:divBdr>
        <w:top w:val="none" w:sz="0" w:space="0" w:color="auto"/>
        <w:left w:val="none" w:sz="0" w:space="0" w:color="auto"/>
        <w:bottom w:val="none" w:sz="0" w:space="0" w:color="auto"/>
        <w:right w:val="none" w:sz="0" w:space="0" w:color="auto"/>
      </w:divBdr>
      <w:divsChild>
        <w:div w:id="1236623993">
          <w:marLeft w:val="288"/>
          <w:marRight w:val="0"/>
          <w:marTop w:val="115"/>
          <w:marBottom w:val="0"/>
          <w:divBdr>
            <w:top w:val="none" w:sz="0" w:space="0" w:color="auto"/>
            <w:left w:val="none" w:sz="0" w:space="0" w:color="auto"/>
            <w:bottom w:val="none" w:sz="0" w:space="0" w:color="auto"/>
            <w:right w:val="none" w:sz="0" w:space="0" w:color="auto"/>
          </w:divBdr>
        </w:div>
      </w:divsChild>
    </w:div>
    <w:div w:id="1716126789">
      <w:bodyDiv w:val="1"/>
      <w:marLeft w:val="0"/>
      <w:marRight w:val="0"/>
      <w:marTop w:val="0"/>
      <w:marBottom w:val="0"/>
      <w:divBdr>
        <w:top w:val="none" w:sz="0" w:space="0" w:color="auto"/>
        <w:left w:val="none" w:sz="0" w:space="0" w:color="auto"/>
        <w:bottom w:val="none" w:sz="0" w:space="0" w:color="auto"/>
        <w:right w:val="none" w:sz="0" w:space="0" w:color="auto"/>
      </w:divBdr>
    </w:div>
    <w:div w:id="1751191630">
      <w:bodyDiv w:val="1"/>
      <w:marLeft w:val="0"/>
      <w:marRight w:val="0"/>
      <w:marTop w:val="0"/>
      <w:marBottom w:val="0"/>
      <w:divBdr>
        <w:top w:val="none" w:sz="0" w:space="0" w:color="auto"/>
        <w:left w:val="none" w:sz="0" w:space="0" w:color="auto"/>
        <w:bottom w:val="none" w:sz="0" w:space="0" w:color="auto"/>
        <w:right w:val="none" w:sz="0" w:space="0" w:color="auto"/>
      </w:divBdr>
      <w:divsChild>
        <w:div w:id="155539116">
          <w:marLeft w:val="547"/>
          <w:marRight w:val="0"/>
          <w:marTop w:val="0"/>
          <w:marBottom w:val="0"/>
          <w:divBdr>
            <w:top w:val="none" w:sz="0" w:space="0" w:color="auto"/>
            <w:left w:val="none" w:sz="0" w:space="0" w:color="auto"/>
            <w:bottom w:val="none" w:sz="0" w:space="0" w:color="auto"/>
            <w:right w:val="none" w:sz="0" w:space="0" w:color="auto"/>
          </w:divBdr>
        </w:div>
        <w:div w:id="1347514686">
          <w:marLeft w:val="1166"/>
          <w:marRight w:val="0"/>
          <w:marTop w:val="0"/>
          <w:marBottom w:val="0"/>
          <w:divBdr>
            <w:top w:val="none" w:sz="0" w:space="0" w:color="auto"/>
            <w:left w:val="none" w:sz="0" w:space="0" w:color="auto"/>
            <w:bottom w:val="none" w:sz="0" w:space="0" w:color="auto"/>
            <w:right w:val="none" w:sz="0" w:space="0" w:color="auto"/>
          </w:divBdr>
        </w:div>
        <w:div w:id="355356009">
          <w:marLeft w:val="1166"/>
          <w:marRight w:val="0"/>
          <w:marTop w:val="0"/>
          <w:marBottom w:val="0"/>
          <w:divBdr>
            <w:top w:val="none" w:sz="0" w:space="0" w:color="auto"/>
            <w:left w:val="none" w:sz="0" w:space="0" w:color="auto"/>
            <w:bottom w:val="none" w:sz="0" w:space="0" w:color="auto"/>
            <w:right w:val="none" w:sz="0" w:space="0" w:color="auto"/>
          </w:divBdr>
        </w:div>
        <w:div w:id="1849903138">
          <w:marLeft w:val="1166"/>
          <w:marRight w:val="0"/>
          <w:marTop w:val="0"/>
          <w:marBottom w:val="0"/>
          <w:divBdr>
            <w:top w:val="none" w:sz="0" w:space="0" w:color="auto"/>
            <w:left w:val="none" w:sz="0" w:space="0" w:color="auto"/>
            <w:bottom w:val="none" w:sz="0" w:space="0" w:color="auto"/>
            <w:right w:val="none" w:sz="0" w:space="0" w:color="auto"/>
          </w:divBdr>
        </w:div>
        <w:div w:id="1073552939">
          <w:marLeft w:val="1166"/>
          <w:marRight w:val="0"/>
          <w:marTop w:val="0"/>
          <w:marBottom w:val="0"/>
          <w:divBdr>
            <w:top w:val="none" w:sz="0" w:space="0" w:color="auto"/>
            <w:left w:val="none" w:sz="0" w:space="0" w:color="auto"/>
            <w:bottom w:val="none" w:sz="0" w:space="0" w:color="auto"/>
            <w:right w:val="none" w:sz="0" w:space="0" w:color="auto"/>
          </w:divBdr>
        </w:div>
      </w:divsChild>
    </w:div>
    <w:div w:id="1760785199">
      <w:bodyDiv w:val="1"/>
      <w:marLeft w:val="0"/>
      <w:marRight w:val="0"/>
      <w:marTop w:val="0"/>
      <w:marBottom w:val="0"/>
      <w:divBdr>
        <w:top w:val="none" w:sz="0" w:space="0" w:color="auto"/>
        <w:left w:val="none" w:sz="0" w:space="0" w:color="auto"/>
        <w:bottom w:val="none" w:sz="0" w:space="0" w:color="auto"/>
        <w:right w:val="none" w:sz="0" w:space="0" w:color="auto"/>
      </w:divBdr>
    </w:div>
    <w:div w:id="1792164093">
      <w:bodyDiv w:val="1"/>
      <w:marLeft w:val="0"/>
      <w:marRight w:val="0"/>
      <w:marTop w:val="0"/>
      <w:marBottom w:val="0"/>
      <w:divBdr>
        <w:top w:val="none" w:sz="0" w:space="0" w:color="auto"/>
        <w:left w:val="none" w:sz="0" w:space="0" w:color="auto"/>
        <w:bottom w:val="none" w:sz="0" w:space="0" w:color="auto"/>
        <w:right w:val="none" w:sz="0" w:space="0" w:color="auto"/>
      </w:divBdr>
      <w:divsChild>
        <w:div w:id="259996926">
          <w:marLeft w:val="0"/>
          <w:marRight w:val="0"/>
          <w:marTop w:val="0"/>
          <w:marBottom w:val="0"/>
          <w:divBdr>
            <w:top w:val="none" w:sz="0" w:space="0" w:color="auto"/>
            <w:left w:val="none" w:sz="0" w:space="0" w:color="auto"/>
            <w:bottom w:val="none" w:sz="0" w:space="0" w:color="auto"/>
            <w:right w:val="none" w:sz="0" w:space="0" w:color="auto"/>
          </w:divBdr>
        </w:div>
      </w:divsChild>
    </w:div>
    <w:div w:id="1818838802">
      <w:bodyDiv w:val="1"/>
      <w:marLeft w:val="0"/>
      <w:marRight w:val="0"/>
      <w:marTop w:val="0"/>
      <w:marBottom w:val="0"/>
      <w:divBdr>
        <w:top w:val="none" w:sz="0" w:space="0" w:color="auto"/>
        <w:left w:val="none" w:sz="0" w:space="0" w:color="auto"/>
        <w:bottom w:val="none" w:sz="0" w:space="0" w:color="auto"/>
        <w:right w:val="none" w:sz="0" w:space="0" w:color="auto"/>
      </w:divBdr>
    </w:div>
    <w:div w:id="1825200199">
      <w:bodyDiv w:val="1"/>
      <w:marLeft w:val="0"/>
      <w:marRight w:val="0"/>
      <w:marTop w:val="0"/>
      <w:marBottom w:val="0"/>
      <w:divBdr>
        <w:top w:val="none" w:sz="0" w:space="0" w:color="auto"/>
        <w:left w:val="none" w:sz="0" w:space="0" w:color="auto"/>
        <w:bottom w:val="none" w:sz="0" w:space="0" w:color="auto"/>
        <w:right w:val="none" w:sz="0" w:space="0" w:color="auto"/>
      </w:divBdr>
      <w:divsChild>
        <w:div w:id="83648485">
          <w:marLeft w:val="360"/>
          <w:marRight w:val="0"/>
          <w:marTop w:val="200"/>
          <w:marBottom w:val="0"/>
          <w:divBdr>
            <w:top w:val="none" w:sz="0" w:space="0" w:color="auto"/>
            <w:left w:val="none" w:sz="0" w:space="0" w:color="auto"/>
            <w:bottom w:val="none" w:sz="0" w:space="0" w:color="auto"/>
            <w:right w:val="none" w:sz="0" w:space="0" w:color="auto"/>
          </w:divBdr>
        </w:div>
      </w:divsChild>
    </w:div>
    <w:div w:id="1863740330">
      <w:bodyDiv w:val="1"/>
      <w:marLeft w:val="0"/>
      <w:marRight w:val="0"/>
      <w:marTop w:val="0"/>
      <w:marBottom w:val="0"/>
      <w:divBdr>
        <w:top w:val="none" w:sz="0" w:space="0" w:color="auto"/>
        <w:left w:val="none" w:sz="0" w:space="0" w:color="auto"/>
        <w:bottom w:val="none" w:sz="0" w:space="0" w:color="auto"/>
        <w:right w:val="none" w:sz="0" w:space="0" w:color="auto"/>
      </w:divBdr>
    </w:div>
    <w:div w:id="1872450853">
      <w:bodyDiv w:val="1"/>
      <w:marLeft w:val="0"/>
      <w:marRight w:val="0"/>
      <w:marTop w:val="0"/>
      <w:marBottom w:val="0"/>
      <w:divBdr>
        <w:top w:val="none" w:sz="0" w:space="0" w:color="auto"/>
        <w:left w:val="none" w:sz="0" w:space="0" w:color="auto"/>
        <w:bottom w:val="none" w:sz="0" w:space="0" w:color="auto"/>
        <w:right w:val="none" w:sz="0" w:space="0" w:color="auto"/>
      </w:divBdr>
    </w:div>
    <w:div w:id="1893150061">
      <w:bodyDiv w:val="1"/>
      <w:marLeft w:val="0"/>
      <w:marRight w:val="0"/>
      <w:marTop w:val="0"/>
      <w:marBottom w:val="0"/>
      <w:divBdr>
        <w:top w:val="none" w:sz="0" w:space="0" w:color="auto"/>
        <w:left w:val="none" w:sz="0" w:space="0" w:color="auto"/>
        <w:bottom w:val="none" w:sz="0" w:space="0" w:color="auto"/>
        <w:right w:val="none" w:sz="0" w:space="0" w:color="auto"/>
      </w:divBdr>
    </w:div>
    <w:div w:id="1899510907">
      <w:bodyDiv w:val="1"/>
      <w:marLeft w:val="0"/>
      <w:marRight w:val="0"/>
      <w:marTop w:val="0"/>
      <w:marBottom w:val="0"/>
      <w:divBdr>
        <w:top w:val="none" w:sz="0" w:space="0" w:color="auto"/>
        <w:left w:val="none" w:sz="0" w:space="0" w:color="auto"/>
        <w:bottom w:val="none" w:sz="0" w:space="0" w:color="auto"/>
        <w:right w:val="none" w:sz="0" w:space="0" w:color="auto"/>
      </w:divBdr>
    </w:div>
    <w:div w:id="1948810406">
      <w:bodyDiv w:val="1"/>
      <w:marLeft w:val="0"/>
      <w:marRight w:val="0"/>
      <w:marTop w:val="0"/>
      <w:marBottom w:val="0"/>
      <w:divBdr>
        <w:top w:val="none" w:sz="0" w:space="0" w:color="auto"/>
        <w:left w:val="none" w:sz="0" w:space="0" w:color="auto"/>
        <w:bottom w:val="none" w:sz="0" w:space="0" w:color="auto"/>
        <w:right w:val="none" w:sz="0" w:space="0" w:color="auto"/>
      </w:divBdr>
    </w:div>
    <w:div w:id="1949698792">
      <w:bodyDiv w:val="1"/>
      <w:marLeft w:val="0"/>
      <w:marRight w:val="0"/>
      <w:marTop w:val="0"/>
      <w:marBottom w:val="0"/>
      <w:divBdr>
        <w:top w:val="none" w:sz="0" w:space="0" w:color="auto"/>
        <w:left w:val="none" w:sz="0" w:space="0" w:color="auto"/>
        <w:bottom w:val="none" w:sz="0" w:space="0" w:color="auto"/>
        <w:right w:val="none" w:sz="0" w:space="0" w:color="auto"/>
      </w:divBdr>
      <w:divsChild>
        <w:div w:id="70347831">
          <w:marLeft w:val="547"/>
          <w:marRight w:val="0"/>
          <w:marTop w:val="0"/>
          <w:marBottom w:val="0"/>
          <w:divBdr>
            <w:top w:val="none" w:sz="0" w:space="0" w:color="auto"/>
            <w:left w:val="none" w:sz="0" w:space="0" w:color="auto"/>
            <w:bottom w:val="none" w:sz="0" w:space="0" w:color="auto"/>
            <w:right w:val="none" w:sz="0" w:space="0" w:color="auto"/>
          </w:divBdr>
        </w:div>
        <w:div w:id="15274188">
          <w:marLeft w:val="547"/>
          <w:marRight w:val="0"/>
          <w:marTop w:val="0"/>
          <w:marBottom w:val="0"/>
          <w:divBdr>
            <w:top w:val="none" w:sz="0" w:space="0" w:color="auto"/>
            <w:left w:val="none" w:sz="0" w:space="0" w:color="auto"/>
            <w:bottom w:val="none" w:sz="0" w:space="0" w:color="auto"/>
            <w:right w:val="none" w:sz="0" w:space="0" w:color="auto"/>
          </w:divBdr>
        </w:div>
      </w:divsChild>
    </w:div>
    <w:div w:id="1973169179">
      <w:bodyDiv w:val="1"/>
      <w:marLeft w:val="0"/>
      <w:marRight w:val="0"/>
      <w:marTop w:val="0"/>
      <w:marBottom w:val="0"/>
      <w:divBdr>
        <w:top w:val="none" w:sz="0" w:space="0" w:color="auto"/>
        <w:left w:val="none" w:sz="0" w:space="0" w:color="auto"/>
        <w:bottom w:val="none" w:sz="0" w:space="0" w:color="auto"/>
        <w:right w:val="none" w:sz="0" w:space="0" w:color="auto"/>
      </w:divBdr>
    </w:div>
    <w:div w:id="1973636799">
      <w:bodyDiv w:val="1"/>
      <w:marLeft w:val="0"/>
      <w:marRight w:val="0"/>
      <w:marTop w:val="0"/>
      <w:marBottom w:val="0"/>
      <w:divBdr>
        <w:top w:val="none" w:sz="0" w:space="0" w:color="auto"/>
        <w:left w:val="none" w:sz="0" w:space="0" w:color="auto"/>
        <w:bottom w:val="none" w:sz="0" w:space="0" w:color="auto"/>
        <w:right w:val="none" w:sz="0" w:space="0" w:color="auto"/>
      </w:divBdr>
    </w:div>
    <w:div w:id="1974168217">
      <w:bodyDiv w:val="1"/>
      <w:marLeft w:val="0"/>
      <w:marRight w:val="0"/>
      <w:marTop w:val="0"/>
      <w:marBottom w:val="0"/>
      <w:divBdr>
        <w:top w:val="none" w:sz="0" w:space="0" w:color="auto"/>
        <w:left w:val="none" w:sz="0" w:space="0" w:color="auto"/>
        <w:bottom w:val="none" w:sz="0" w:space="0" w:color="auto"/>
        <w:right w:val="none" w:sz="0" w:space="0" w:color="auto"/>
      </w:divBdr>
    </w:div>
    <w:div w:id="1976832584">
      <w:bodyDiv w:val="1"/>
      <w:marLeft w:val="0"/>
      <w:marRight w:val="0"/>
      <w:marTop w:val="0"/>
      <w:marBottom w:val="0"/>
      <w:divBdr>
        <w:top w:val="none" w:sz="0" w:space="0" w:color="auto"/>
        <w:left w:val="none" w:sz="0" w:space="0" w:color="auto"/>
        <w:bottom w:val="none" w:sz="0" w:space="0" w:color="auto"/>
        <w:right w:val="none" w:sz="0" w:space="0" w:color="auto"/>
      </w:divBdr>
    </w:div>
    <w:div w:id="1984575943">
      <w:bodyDiv w:val="1"/>
      <w:marLeft w:val="0"/>
      <w:marRight w:val="0"/>
      <w:marTop w:val="0"/>
      <w:marBottom w:val="0"/>
      <w:divBdr>
        <w:top w:val="none" w:sz="0" w:space="0" w:color="auto"/>
        <w:left w:val="none" w:sz="0" w:space="0" w:color="auto"/>
        <w:bottom w:val="none" w:sz="0" w:space="0" w:color="auto"/>
        <w:right w:val="none" w:sz="0" w:space="0" w:color="auto"/>
      </w:divBdr>
    </w:div>
    <w:div w:id="1996951393">
      <w:bodyDiv w:val="1"/>
      <w:marLeft w:val="0"/>
      <w:marRight w:val="0"/>
      <w:marTop w:val="0"/>
      <w:marBottom w:val="0"/>
      <w:divBdr>
        <w:top w:val="none" w:sz="0" w:space="0" w:color="auto"/>
        <w:left w:val="none" w:sz="0" w:space="0" w:color="auto"/>
        <w:bottom w:val="none" w:sz="0" w:space="0" w:color="auto"/>
        <w:right w:val="none" w:sz="0" w:space="0" w:color="auto"/>
      </w:divBdr>
      <w:divsChild>
        <w:div w:id="443615886">
          <w:marLeft w:val="547"/>
          <w:marRight w:val="0"/>
          <w:marTop w:val="0"/>
          <w:marBottom w:val="0"/>
          <w:divBdr>
            <w:top w:val="none" w:sz="0" w:space="0" w:color="auto"/>
            <w:left w:val="none" w:sz="0" w:space="0" w:color="auto"/>
            <w:bottom w:val="none" w:sz="0" w:space="0" w:color="auto"/>
            <w:right w:val="none" w:sz="0" w:space="0" w:color="auto"/>
          </w:divBdr>
        </w:div>
      </w:divsChild>
    </w:div>
    <w:div w:id="2017220079">
      <w:bodyDiv w:val="1"/>
      <w:marLeft w:val="0"/>
      <w:marRight w:val="0"/>
      <w:marTop w:val="0"/>
      <w:marBottom w:val="0"/>
      <w:divBdr>
        <w:top w:val="none" w:sz="0" w:space="0" w:color="auto"/>
        <w:left w:val="none" w:sz="0" w:space="0" w:color="auto"/>
        <w:bottom w:val="none" w:sz="0" w:space="0" w:color="auto"/>
        <w:right w:val="none" w:sz="0" w:space="0" w:color="auto"/>
      </w:divBdr>
    </w:div>
    <w:div w:id="2044818192">
      <w:bodyDiv w:val="1"/>
      <w:marLeft w:val="0"/>
      <w:marRight w:val="0"/>
      <w:marTop w:val="0"/>
      <w:marBottom w:val="0"/>
      <w:divBdr>
        <w:top w:val="none" w:sz="0" w:space="0" w:color="auto"/>
        <w:left w:val="none" w:sz="0" w:space="0" w:color="auto"/>
        <w:bottom w:val="none" w:sz="0" w:space="0" w:color="auto"/>
        <w:right w:val="none" w:sz="0" w:space="0" w:color="auto"/>
      </w:divBdr>
    </w:div>
    <w:div w:id="2100756803">
      <w:bodyDiv w:val="1"/>
      <w:marLeft w:val="0"/>
      <w:marRight w:val="0"/>
      <w:marTop w:val="0"/>
      <w:marBottom w:val="0"/>
      <w:divBdr>
        <w:top w:val="none" w:sz="0" w:space="0" w:color="auto"/>
        <w:left w:val="none" w:sz="0" w:space="0" w:color="auto"/>
        <w:bottom w:val="none" w:sz="0" w:space="0" w:color="auto"/>
        <w:right w:val="none" w:sz="0" w:space="0" w:color="auto"/>
      </w:divBdr>
    </w:div>
    <w:div w:id="2130080110">
      <w:bodyDiv w:val="1"/>
      <w:marLeft w:val="0"/>
      <w:marRight w:val="0"/>
      <w:marTop w:val="0"/>
      <w:marBottom w:val="0"/>
      <w:divBdr>
        <w:top w:val="none" w:sz="0" w:space="0" w:color="auto"/>
        <w:left w:val="none" w:sz="0" w:space="0" w:color="auto"/>
        <w:bottom w:val="none" w:sz="0" w:space="0" w:color="auto"/>
        <w:right w:val="none" w:sz="0" w:space="0" w:color="auto"/>
      </w:divBdr>
    </w:div>
    <w:div w:id="2130463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ar.tuftsmedicalcenter.org" TargetMode="Externa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3.xml"/><Relationship Id="rId23" Type="http://schemas.openxmlformats.org/officeDocument/2006/relationships/header" Target="header2.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F13F88-B8FD-4E3F-B368-0C6C09E7925C}" type="doc">
      <dgm:prSet loTypeId="urn:microsoft.com/office/officeart/2009/layout/CircleArrowProcess" loCatId="process" qsTypeId="urn:microsoft.com/office/officeart/2005/8/quickstyle/simple1" qsCatId="simple" csTypeId="urn:microsoft.com/office/officeart/2005/8/colors/accent1_2" csCatId="accent1" phldr="0"/>
      <dgm:spPr/>
      <dgm:t>
        <a:bodyPr/>
        <a:lstStyle/>
        <a:p>
          <a:endParaRPr lang="en-US"/>
        </a:p>
      </dgm:t>
    </dgm:pt>
    <dgm:pt modelId="{C1A44BAF-05F1-449B-A1ED-B10A2700397F}">
      <dgm:prSet phldrT="[Text]" phldr="1"/>
      <dgm:spPr/>
      <dgm:t>
        <a:bodyPr/>
        <a:lstStyle/>
        <a:p>
          <a:endParaRPr lang="en-US"/>
        </a:p>
      </dgm:t>
    </dgm:pt>
    <dgm:pt modelId="{0B57DB80-6DE2-4800-A747-8DC4D340F926}" type="parTrans" cxnId="{A8463C5E-61F4-495B-AA90-1D7E6146896C}">
      <dgm:prSet/>
      <dgm:spPr/>
      <dgm:t>
        <a:bodyPr/>
        <a:lstStyle/>
        <a:p>
          <a:endParaRPr lang="en-US"/>
        </a:p>
      </dgm:t>
    </dgm:pt>
    <dgm:pt modelId="{05D65565-DD81-4BBE-839B-F2EA73EC933F}" type="sibTrans" cxnId="{A8463C5E-61F4-495B-AA90-1D7E6146896C}">
      <dgm:prSet/>
      <dgm:spPr/>
      <dgm:t>
        <a:bodyPr/>
        <a:lstStyle/>
        <a:p>
          <a:endParaRPr lang="en-US"/>
        </a:p>
      </dgm:t>
    </dgm:pt>
    <dgm:pt modelId="{8305198C-6E8D-4E35-A398-F9482F0F394C}">
      <dgm:prSet phldrT="[Text]" phldr="1"/>
      <dgm:spPr/>
      <dgm:t>
        <a:bodyPr/>
        <a:lstStyle/>
        <a:p>
          <a:endParaRPr lang="en-US"/>
        </a:p>
      </dgm:t>
    </dgm:pt>
    <dgm:pt modelId="{C6C18FB5-13B4-4992-A846-214375C284D2}" type="parTrans" cxnId="{C65BDE96-1A72-4B3F-9878-6FA504A11A7F}">
      <dgm:prSet/>
      <dgm:spPr/>
      <dgm:t>
        <a:bodyPr/>
        <a:lstStyle/>
        <a:p>
          <a:endParaRPr lang="en-US"/>
        </a:p>
      </dgm:t>
    </dgm:pt>
    <dgm:pt modelId="{DA415D88-130C-4B65-A48E-71F3BE1B619F}" type="sibTrans" cxnId="{C65BDE96-1A72-4B3F-9878-6FA504A11A7F}">
      <dgm:prSet/>
      <dgm:spPr/>
      <dgm:t>
        <a:bodyPr/>
        <a:lstStyle/>
        <a:p>
          <a:endParaRPr lang="en-US"/>
        </a:p>
      </dgm:t>
    </dgm:pt>
    <dgm:pt modelId="{86420D50-78E7-433B-9279-EAECB50BD388}">
      <dgm:prSet phldrT="[Text]" phldr="1"/>
      <dgm:spPr/>
      <dgm:t>
        <a:bodyPr/>
        <a:lstStyle/>
        <a:p>
          <a:endParaRPr lang="en-US"/>
        </a:p>
      </dgm:t>
    </dgm:pt>
    <dgm:pt modelId="{57433F8F-3F43-4384-AF0B-EAA2358E1D60}" type="parTrans" cxnId="{2A779C1A-486B-4400-B12C-08EEE418372F}">
      <dgm:prSet/>
      <dgm:spPr/>
      <dgm:t>
        <a:bodyPr/>
        <a:lstStyle/>
        <a:p>
          <a:endParaRPr lang="en-US"/>
        </a:p>
      </dgm:t>
    </dgm:pt>
    <dgm:pt modelId="{0275CB91-2AE7-401E-BDF2-76DB738DB143}" type="sibTrans" cxnId="{2A779C1A-486B-4400-B12C-08EEE418372F}">
      <dgm:prSet/>
      <dgm:spPr/>
      <dgm:t>
        <a:bodyPr/>
        <a:lstStyle/>
        <a:p>
          <a:endParaRPr lang="en-US"/>
        </a:p>
      </dgm:t>
    </dgm:pt>
    <dgm:pt modelId="{3D547922-6BBD-4A5E-A60F-5456710E3AC3}" type="pres">
      <dgm:prSet presAssocID="{4DF13F88-B8FD-4E3F-B368-0C6C09E7925C}" presName="Name0" presStyleCnt="0">
        <dgm:presLayoutVars>
          <dgm:chMax val="7"/>
          <dgm:chPref val="7"/>
          <dgm:dir/>
          <dgm:animLvl val="lvl"/>
        </dgm:presLayoutVars>
      </dgm:prSet>
      <dgm:spPr/>
      <dgm:t>
        <a:bodyPr/>
        <a:lstStyle/>
        <a:p>
          <a:endParaRPr lang="en-US"/>
        </a:p>
      </dgm:t>
    </dgm:pt>
    <dgm:pt modelId="{5F5CA439-CC92-4D0B-BE80-1050AEB77884}" type="pres">
      <dgm:prSet presAssocID="{C1A44BAF-05F1-449B-A1ED-B10A2700397F}" presName="Accent1" presStyleCnt="0"/>
      <dgm:spPr/>
    </dgm:pt>
    <dgm:pt modelId="{4D7DACDF-583B-4108-ACCE-96D271DC3AD0}" type="pres">
      <dgm:prSet presAssocID="{C1A44BAF-05F1-449B-A1ED-B10A2700397F}" presName="Accent" presStyleLbl="node1" presStyleIdx="0" presStyleCnt="3"/>
      <dgm:spPr/>
    </dgm:pt>
    <dgm:pt modelId="{06CFDD0E-28FD-4427-9083-6D68EB8DAE0A}" type="pres">
      <dgm:prSet presAssocID="{C1A44BAF-05F1-449B-A1ED-B10A2700397F}" presName="Parent1" presStyleLbl="revTx" presStyleIdx="0" presStyleCnt="3">
        <dgm:presLayoutVars>
          <dgm:chMax val="1"/>
          <dgm:chPref val="1"/>
          <dgm:bulletEnabled val="1"/>
        </dgm:presLayoutVars>
      </dgm:prSet>
      <dgm:spPr/>
      <dgm:t>
        <a:bodyPr/>
        <a:lstStyle/>
        <a:p>
          <a:endParaRPr lang="en-US"/>
        </a:p>
      </dgm:t>
    </dgm:pt>
    <dgm:pt modelId="{9DC46B99-AA45-4342-82E5-9BA4D8D3AC7C}" type="pres">
      <dgm:prSet presAssocID="{8305198C-6E8D-4E35-A398-F9482F0F394C}" presName="Accent2" presStyleCnt="0"/>
      <dgm:spPr/>
    </dgm:pt>
    <dgm:pt modelId="{66081103-AF76-4FDB-8C3B-38685CCAFF7A}" type="pres">
      <dgm:prSet presAssocID="{8305198C-6E8D-4E35-A398-F9482F0F394C}" presName="Accent" presStyleLbl="node1" presStyleIdx="1" presStyleCnt="3"/>
      <dgm:spPr/>
    </dgm:pt>
    <dgm:pt modelId="{DE1DCA88-CB40-4EF6-B46B-15C25F611B92}" type="pres">
      <dgm:prSet presAssocID="{8305198C-6E8D-4E35-A398-F9482F0F394C}" presName="Parent2" presStyleLbl="revTx" presStyleIdx="1" presStyleCnt="3">
        <dgm:presLayoutVars>
          <dgm:chMax val="1"/>
          <dgm:chPref val="1"/>
          <dgm:bulletEnabled val="1"/>
        </dgm:presLayoutVars>
      </dgm:prSet>
      <dgm:spPr/>
      <dgm:t>
        <a:bodyPr/>
        <a:lstStyle/>
        <a:p>
          <a:endParaRPr lang="en-US"/>
        </a:p>
      </dgm:t>
    </dgm:pt>
    <dgm:pt modelId="{A13BD113-0ED4-4D7F-BABE-E2DF0E0E6F34}" type="pres">
      <dgm:prSet presAssocID="{86420D50-78E7-433B-9279-EAECB50BD388}" presName="Accent3" presStyleCnt="0"/>
      <dgm:spPr/>
    </dgm:pt>
    <dgm:pt modelId="{EA5E0DEE-AFD3-43D3-8EA4-80937E22BA45}" type="pres">
      <dgm:prSet presAssocID="{86420D50-78E7-433B-9279-EAECB50BD388}" presName="Accent" presStyleLbl="node1" presStyleIdx="2" presStyleCnt="3"/>
      <dgm:spPr/>
    </dgm:pt>
    <dgm:pt modelId="{18B51CF3-C5E4-4E3D-98E7-7A0EF564DAAA}" type="pres">
      <dgm:prSet presAssocID="{86420D50-78E7-433B-9279-EAECB50BD388}" presName="Parent3" presStyleLbl="revTx" presStyleIdx="2" presStyleCnt="3">
        <dgm:presLayoutVars>
          <dgm:chMax val="1"/>
          <dgm:chPref val="1"/>
          <dgm:bulletEnabled val="1"/>
        </dgm:presLayoutVars>
      </dgm:prSet>
      <dgm:spPr/>
      <dgm:t>
        <a:bodyPr/>
        <a:lstStyle/>
        <a:p>
          <a:endParaRPr lang="en-US"/>
        </a:p>
      </dgm:t>
    </dgm:pt>
  </dgm:ptLst>
  <dgm:cxnLst>
    <dgm:cxn modelId="{0CCBF662-780B-419C-90DB-4CBFCFD7AB79}" type="presOf" srcId="{86420D50-78E7-433B-9279-EAECB50BD388}" destId="{18B51CF3-C5E4-4E3D-98E7-7A0EF564DAAA}" srcOrd="0" destOrd="0" presId="urn:microsoft.com/office/officeart/2009/layout/CircleArrowProcess"/>
    <dgm:cxn modelId="{2A779C1A-486B-4400-B12C-08EEE418372F}" srcId="{4DF13F88-B8FD-4E3F-B368-0C6C09E7925C}" destId="{86420D50-78E7-433B-9279-EAECB50BD388}" srcOrd="2" destOrd="0" parTransId="{57433F8F-3F43-4384-AF0B-EAA2358E1D60}" sibTransId="{0275CB91-2AE7-401E-BDF2-76DB738DB143}"/>
    <dgm:cxn modelId="{A8463C5E-61F4-495B-AA90-1D7E6146896C}" srcId="{4DF13F88-B8FD-4E3F-B368-0C6C09E7925C}" destId="{C1A44BAF-05F1-449B-A1ED-B10A2700397F}" srcOrd="0" destOrd="0" parTransId="{0B57DB80-6DE2-4800-A747-8DC4D340F926}" sibTransId="{05D65565-DD81-4BBE-839B-F2EA73EC933F}"/>
    <dgm:cxn modelId="{5A7344A6-AEA4-4C17-8B96-55781F705EC5}" type="presOf" srcId="{8305198C-6E8D-4E35-A398-F9482F0F394C}" destId="{DE1DCA88-CB40-4EF6-B46B-15C25F611B92}" srcOrd="0" destOrd="0" presId="urn:microsoft.com/office/officeart/2009/layout/CircleArrowProcess"/>
    <dgm:cxn modelId="{A64306F5-6CAF-47D2-B1A6-E23D56E63715}" type="presOf" srcId="{4DF13F88-B8FD-4E3F-B368-0C6C09E7925C}" destId="{3D547922-6BBD-4A5E-A60F-5456710E3AC3}" srcOrd="0" destOrd="0" presId="urn:microsoft.com/office/officeart/2009/layout/CircleArrowProcess"/>
    <dgm:cxn modelId="{C65BDE96-1A72-4B3F-9878-6FA504A11A7F}" srcId="{4DF13F88-B8FD-4E3F-B368-0C6C09E7925C}" destId="{8305198C-6E8D-4E35-A398-F9482F0F394C}" srcOrd="1" destOrd="0" parTransId="{C6C18FB5-13B4-4992-A846-214375C284D2}" sibTransId="{DA415D88-130C-4B65-A48E-71F3BE1B619F}"/>
    <dgm:cxn modelId="{0EBDD77E-735C-4A40-82B9-ED5354FCFFFF}" type="presOf" srcId="{C1A44BAF-05F1-449B-A1ED-B10A2700397F}" destId="{06CFDD0E-28FD-4427-9083-6D68EB8DAE0A}" srcOrd="0" destOrd="0" presId="urn:microsoft.com/office/officeart/2009/layout/CircleArrowProcess"/>
    <dgm:cxn modelId="{31DF25E5-81F1-4857-966C-DC4EFEA01C46}" type="presParOf" srcId="{3D547922-6BBD-4A5E-A60F-5456710E3AC3}" destId="{5F5CA439-CC92-4D0B-BE80-1050AEB77884}" srcOrd="0" destOrd="0" presId="urn:microsoft.com/office/officeart/2009/layout/CircleArrowProcess"/>
    <dgm:cxn modelId="{CCAD0DB9-5BA3-49FA-A7B2-D1E9B5C9CC8B}" type="presParOf" srcId="{5F5CA439-CC92-4D0B-BE80-1050AEB77884}" destId="{4D7DACDF-583B-4108-ACCE-96D271DC3AD0}" srcOrd="0" destOrd="0" presId="urn:microsoft.com/office/officeart/2009/layout/CircleArrowProcess"/>
    <dgm:cxn modelId="{5D763815-6DA8-4D93-BE8E-3DA424EFD664}" type="presParOf" srcId="{3D547922-6BBD-4A5E-A60F-5456710E3AC3}" destId="{06CFDD0E-28FD-4427-9083-6D68EB8DAE0A}" srcOrd="1" destOrd="0" presId="urn:microsoft.com/office/officeart/2009/layout/CircleArrowProcess"/>
    <dgm:cxn modelId="{E9F2AECE-9838-4C78-91C6-E1F574347B26}" type="presParOf" srcId="{3D547922-6BBD-4A5E-A60F-5456710E3AC3}" destId="{9DC46B99-AA45-4342-82E5-9BA4D8D3AC7C}" srcOrd="2" destOrd="0" presId="urn:microsoft.com/office/officeart/2009/layout/CircleArrowProcess"/>
    <dgm:cxn modelId="{42B97FF5-2E9E-4A80-B708-A74FF9BB6793}" type="presParOf" srcId="{9DC46B99-AA45-4342-82E5-9BA4D8D3AC7C}" destId="{66081103-AF76-4FDB-8C3B-38685CCAFF7A}" srcOrd="0" destOrd="0" presId="urn:microsoft.com/office/officeart/2009/layout/CircleArrowProcess"/>
    <dgm:cxn modelId="{370D860F-763C-4855-82A7-C824EEE968FA}" type="presParOf" srcId="{3D547922-6BBD-4A5E-A60F-5456710E3AC3}" destId="{DE1DCA88-CB40-4EF6-B46B-15C25F611B92}" srcOrd="3" destOrd="0" presId="urn:microsoft.com/office/officeart/2009/layout/CircleArrowProcess"/>
    <dgm:cxn modelId="{8DCDE429-BE2F-4B62-82EE-54EB4F4FEB05}" type="presParOf" srcId="{3D547922-6BBD-4A5E-A60F-5456710E3AC3}" destId="{A13BD113-0ED4-4D7F-BABE-E2DF0E0E6F34}" srcOrd="4" destOrd="0" presId="urn:microsoft.com/office/officeart/2009/layout/CircleArrowProcess"/>
    <dgm:cxn modelId="{C27FD0DA-18F5-483B-91A2-69B938037806}" type="presParOf" srcId="{A13BD113-0ED4-4D7F-BABE-E2DF0E0E6F34}" destId="{EA5E0DEE-AFD3-43D3-8EA4-80937E22BA45}" srcOrd="0" destOrd="0" presId="urn:microsoft.com/office/officeart/2009/layout/CircleArrowProcess"/>
    <dgm:cxn modelId="{AD98BA06-B8FF-47CC-9069-3B16BFECE626}" type="presParOf" srcId="{3D547922-6BBD-4A5E-A60F-5456710E3AC3}" destId="{18B51CF3-C5E4-4E3D-98E7-7A0EF564DAAA}" srcOrd="5"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F13F88-B8FD-4E3F-B368-0C6C09E7925C}" type="doc">
      <dgm:prSet loTypeId="urn:microsoft.com/office/officeart/2009/layout/CircleArrowProcess" loCatId="process" qsTypeId="urn:microsoft.com/office/officeart/2005/8/quickstyle/simple1" qsCatId="simple" csTypeId="urn:microsoft.com/office/officeart/2005/8/colors/accent1_2" csCatId="accent1" phldr="0"/>
      <dgm:spPr/>
      <dgm:t>
        <a:bodyPr/>
        <a:lstStyle/>
        <a:p>
          <a:endParaRPr lang="en-US"/>
        </a:p>
      </dgm:t>
    </dgm:pt>
    <dgm:pt modelId="{C1A44BAF-05F1-449B-A1ED-B10A2700397F}">
      <dgm:prSet phldrT="[Text]" phldr="1"/>
      <dgm:spPr/>
      <dgm:t>
        <a:bodyPr/>
        <a:lstStyle/>
        <a:p>
          <a:endParaRPr lang="en-US"/>
        </a:p>
      </dgm:t>
    </dgm:pt>
    <dgm:pt modelId="{0B57DB80-6DE2-4800-A747-8DC4D340F926}" type="parTrans" cxnId="{A8463C5E-61F4-495B-AA90-1D7E6146896C}">
      <dgm:prSet/>
      <dgm:spPr/>
      <dgm:t>
        <a:bodyPr/>
        <a:lstStyle/>
        <a:p>
          <a:endParaRPr lang="en-US"/>
        </a:p>
      </dgm:t>
    </dgm:pt>
    <dgm:pt modelId="{05D65565-DD81-4BBE-839B-F2EA73EC933F}" type="sibTrans" cxnId="{A8463C5E-61F4-495B-AA90-1D7E6146896C}">
      <dgm:prSet/>
      <dgm:spPr/>
      <dgm:t>
        <a:bodyPr/>
        <a:lstStyle/>
        <a:p>
          <a:endParaRPr lang="en-US"/>
        </a:p>
      </dgm:t>
    </dgm:pt>
    <dgm:pt modelId="{8305198C-6E8D-4E35-A398-F9482F0F394C}">
      <dgm:prSet phldrT="[Text]" phldr="1"/>
      <dgm:spPr/>
      <dgm:t>
        <a:bodyPr/>
        <a:lstStyle/>
        <a:p>
          <a:endParaRPr lang="en-US"/>
        </a:p>
      </dgm:t>
    </dgm:pt>
    <dgm:pt modelId="{C6C18FB5-13B4-4992-A846-214375C284D2}" type="parTrans" cxnId="{C65BDE96-1A72-4B3F-9878-6FA504A11A7F}">
      <dgm:prSet/>
      <dgm:spPr/>
      <dgm:t>
        <a:bodyPr/>
        <a:lstStyle/>
        <a:p>
          <a:endParaRPr lang="en-US"/>
        </a:p>
      </dgm:t>
    </dgm:pt>
    <dgm:pt modelId="{DA415D88-130C-4B65-A48E-71F3BE1B619F}" type="sibTrans" cxnId="{C65BDE96-1A72-4B3F-9878-6FA504A11A7F}">
      <dgm:prSet/>
      <dgm:spPr/>
      <dgm:t>
        <a:bodyPr/>
        <a:lstStyle/>
        <a:p>
          <a:endParaRPr lang="en-US"/>
        </a:p>
      </dgm:t>
    </dgm:pt>
    <dgm:pt modelId="{86420D50-78E7-433B-9279-EAECB50BD388}">
      <dgm:prSet phldrT="[Text]" phldr="1"/>
      <dgm:spPr/>
      <dgm:t>
        <a:bodyPr/>
        <a:lstStyle/>
        <a:p>
          <a:endParaRPr lang="en-US"/>
        </a:p>
      </dgm:t>
    </dgm:pt>
    <dgm:pt modelId="{57433F8F-3F43-4384-AF0B-EAA2358E1D60}" type="parTrans" cxnId="{2A779C1A-486B-4400-B12C-08EEE418372F}">
      <dgm:prSet/>
      <dgm:spPr/>
      <dgm:t>
        <a:bodyPr/>
        <a:lstStyle/>
        <a:p>
          <a:endParaRPr lang="en-US"/>
        </a:p>
      </dgm:t>
    </dgm:pt>
    <dgm:pt modelId="{0275CB91-2AE7-401E-BDF2-76DB738DB143}" type="sibTrans" cxnId="{2A779C1A-486B-4400-B12C-08EEE418372F}">
      <dgm:prSet/>
      <dgm:spPr/>
      <dgm:t>
        <a:bodyPr/>
        <a:lstStyle/>
        <a:p>
          <a:endParaRPr lang="en-US"/>
        </a:p>
      </dgm:t>
    </dgm:pt>
    <dgm:pt modelId="{3D547922-6BBD-4A5E-A60F-5456710E3AC3}" type="pres">
      <dgm:prSet presAssocID="{4DF13F88-B8FD-4E3F-B368-0C6C09E7925C}" presName="Name0" presStyleCnt="0">
        <dgm:presLayoutVars>
          <dgm:chMax val="7"/>
          <dgm:chPref val="7"/>
          <dgm:dir/>
          <dgm:animLvl val="lvl"/>
        </dgm:presLayoutVars>
      </dgm:prSet>
      <dgm:spPr/>
      <dgm:t>
        <a:bodyPr/>
        <a:lstStyle/>
        <a:p>
          <a:endParaRPr lang="en-US"/>
        </a:p>
      </dgm:t>
    </dgm:pt>
    <dgm:pt modelId="{5F5CA439-CC92-4D0B-BE80-1050AEB77884}" type="pres">
      <dgm:prSet presAssocID="{C1A44BAF-05F1-449B-A1ED-B10A2700397F}" presName="Accent1" presStyleCnt="0"/>
      <dgm:spPr/>
    </dgm:pt>
    <dgm:pt modelId="{4D7DACDF-583B-4108-ACCE-96D271DC3AD0}" type="pres">
      <dgm:prSet presAssocID="{C1A44BAF-05F1-449B-A1ED-B10A2700397F}" presName="Accent" presStyleLbl="node1" presStyleIdx="0" presStyleCnt="3"/>
      <dgm:spPr/>
    </dgm:pt>
    <dgm:pt modelId="{06CFDD0E-28FD-4427-9083-6D68EB8DAE0A}" type="pres">
      <dgm:prSet presAssocID="{C1A44BAF-05F1-449B-A1ED-B10A2700397F}" presName="Parent1" presStyleLbl="revTx" presStyleIdx="0" presStyleCnt="3">
        <dgm:presLayoutVars>
          <dgm:chMax val="1"/>
          <dgm:chPref val="1"/>
          <dgm:bulletEnabled val="1"/>
        </dgm:presLayoutVars>
      </dgm:prSet>
      <dgm:spPr/>
      <dgm:t>
        <a:bodyPr/>
        <a:lstStyle/>
        <a:p>
          <a:endParaRPr lang="en-US"/>
        </a:p>
      </dgm:t>
    </dgm:pt>
    <dgm:pt modelId="{9DC46B99-AA45-4342-82E5-9BA4D8D3AC7C}" type="pres">
      <dgm:prSet presAssocID="{8305198C-6E8D-4E35-A398-F9482F0F394C}" presName="Accent2" presStyleCnt="0"/>
      <dgm:spPr/>
    </dgm:pt>
    <dgm:pt modelId="{66081103-AF76-4FDB-8C3B-38685CCAFF7A}" type="pres">
      <dgm:prSet presAssocID="{8305198C-6E8D-4E35-A398-F9482F0F394C}" presName="Accent" presStyleLbl="node1" presStyleIdx="1" presStyleCnt="3"/>
      <dgm:spPr/>
    </dgm:pt>
    <dgm:pt modelId="{DE1DCA88-CB40-4EF6-B46B-15C25F611B92}" type="pres">
      <dgm:prSet presAssocID="{8305198C-6E8D-4E35-A398-F9482F0F394C}" presName="Parent2" presStyleLbl="revTx" presStyleIdx="1" presStyleCnt="3">
        <dgm:presLayoutVars>
          <dgm:chMax val="1"/>
          <dgm:chPref val="1"/>
          <dgm:bulletEnabled val="1"/>
        </dgm:presLayoutVars>
      </dgm:prSet>
      <dgm:spPr/>
      <dgm:t>
        <a:bodyPr/>
        <a:lstStyle/>
        <a:p>
          <a:endParaRPr lang="en-US"/>
        </a:p>
      </dgm:t>
    </dgm:pt>
    <dgm:pt modelId="{A13BD113-0ED4-4D7F-BABE-E2DF0E0E6F34}" type="pres">
      <dgm:prSet presAssocID="{86420D50-78E7-433B-9279-EAECB50BD388}" presName="Accent3" presStyleCnt="0"/>
      <dgm:spPr/>
    </dgm:pt>
    <dgm:pt modelId="{EA5E0DEE-AFD3-43D3-8EA4-80937E22BA45}" type="pres">
      <dgm:prSet presAssocID="{86420D50-78E7-433B-9279-EAECB50BD388}" presName="Accent" presStyleLbl="node1" presStyleIdx="2" presStyleCnt="3"/>
      <dgm:spPr/>
    </dgm:pt>
    <dgm:pt modelId="{18B51CF3-C5E4-4E3D-98E7-7A0EF564DAAA}" type="pres">
      <dgm:prSet presAssocID="{86420D50-78E7-433B-9279-EAECB50BD388}" presName="Parent3" presStyleLbl="revTx" presStyleIdx="2" presStyleCnt="3">
        <dgm:presLayoutVars>
          <dgm:chMax val="1"/>
          <dgm:chPref val="1"/>
          <dgm:bulletEnabled val="1"/>
        </dgm:presLayoutVars>
      </dgm:prSet>
      <dgm:spPr/>
      <dgm:t>
        <a:bodyPr/>
        <a:lstStyle/>
        <a:p>
          <a:endParaRPr lang="en-US"/>
        </a:p>
      </dgm:t>
    </dgm:pt>
  </dgm:ptLst>
  <dgm:cxnLst>
    <dgm:cxn modelId="{0CCBF662-780B-419C-90DB-4CBFCFD7AB79}" type="presOf" srcId="{86420D50-78E7-433B-9279-EAECB50BD388}" destId="{18B51CF3-C5E4-4E3D-98E7-7A0EF564DAAA}" srcOrd="0" destOrd="0" presId="urn:microsoft.com/office/officeart/2009/layout/CircleArrowProcess"/>
    <dgm:cxn modelId="{2A779C1A-486B-4400-B12C-08EEE418372F}" srcId="{4DF13F88-B8FD-4E3F-B368-0C6C09E7925C}" destId="{86420D50-78E7-433B-9279-EAECB50BD388}" srcOrd="2" destOrd="0" parTransId="{57433F8F-3F43-4384-AF0B-EAA2358E1D60}" sibTransId="{0275CB91-2AE7-401E-BDF2-76DB738DB143}"/>
    <dgm:cxn modelId="{A8463C5E-61F4-495B-AA90-1D7E6146896C}" srcId="{4DF13F88-B8FD-4E3F-B368-0C6C09E7925C}" destId="{C1A44BAF-05F1-449B-A1ED-B10A2700397F}" srcOrd="0" destOrd="0" parTransId="{0B57DB80-6DE2-4800-A747-8DC4D340F926}" sibTransId="{05D65565-DD81-4BBE-839B-F2EA73EC933F}"/>
    <dgm:cxn modelId="{5A7344A6-AEA4-4C17-8B96-55781F705EC5}" type="presOf" srcId="{8305198C-6E8D-4E35-A398-F9482F0F394C}" destId="{DE1DCA88-CB40-4EF6-B46B-15C25F611B92}" srcOrd="0" destOrd="0" presId="urn:microsoft.com/office/officeart/2009/layout/CircleArrowProcess"/>
    <dgm:cxn modelId="{A64306F5-6CAF-47D2-B1A6-E23D56E63715}" type="presOf" srcId="{4DF13F88-B8FD-4E3F-B368-0C6C09E7925C}" destId="{3D547922-6BBD-4A5E-A60F-5456710E3AC3}" srcOrd="0" destOrd="0" presId="urn:microsoft.com/office/officeart/2009/layout/CircleArrowProcess"/>
    <dgm:cxn modelId="{C65BDE96-1A72-4B3F-9878-6FA504A11A7F}" srcId="{4DF13F88-B8FD-4E3F-B368-0C6C09E7925C}" destId="{8305198C-6E8D-4E35-A398-F9482F0F394C}" srcOrd="1" destOrd="0" parTransId="{C6C18FB5-13B4-4992-A846-214375C284D2}" sibTransId="{DA415D88-130C-4B65-A48E-71F3BE1B619F}"/>
    <dgm:cxn modelId="{0EBDD77E-735C-4A40-82B9-ED5354FCFFFF}" type="presOf" srcId="{C1A44BAF-05F1-449B-A1ED-B10A2700397F}" destId="{06CFDD0E-28FD-4427-9083-6D68EB8DAE0A}" srcOrd="0" destOrd="0" presId="urn:microsoft.com/office/officeart/2009/layout/CircleArrowProcess"/>
    <dgm:cxn modelId="{31DF25E5-81F1-4857-966C-DC4EFEA01C46}" type="presParOf" srcId="{3D547922-6BBD-4A5E-A60F-5456710E3AC3}" destId="{5F5CA439-CC92-4D0B-BE80-1050AEB77884}" srcOrd="0" destOrd="0" presId="urn:microsoft.com/office/officeart/2009/layout/CircleArrowProcess"/>
    <dgm:cxn modelId="{CCAD0DB9-5BA3-49FA-A7B2-D1E9B5C9CC8B}" type="presParOf" srcId="{5F5CA439-CC92-4D0B-BE80-1050AEB77884}" destId="{4D7DACDF-583B-4108-ACCE-96D271DC3AD0}" srcOrd="0" destOrd="0" presId="urn:microsoft.com/office/officeart/2009/layout/CircleArrowProcess"/>
    <dgm:cxn modelId="{5D763815-6DA8-4D93-BE8E-3DA424EFD664}" type="presParOf" srcId="{3D547922-6BBD-4A5E-A60F-5456710E3AC3}" destId="{06CFDD0E-28FD-4427-9083-6D68EB8DAE0A}" srcOrd="1" destOrd="0" presId="urn:microsoft.com/office/officeart/2009/layout/CircleArrowProcess"/>
    <dgm:cxn modelId="{E9F2AECE-9838-4C78-91C6-E1F574347B26}" type="presParOf" srcId="{3D547922-6BBD-4A5E-A60F-5456710E3AC3}" destId="{9DC46B99-AA45-4342-82E5-9BA4D8D3AC7C}" srcOrd="2" destOrd="0" presId="urn:microsoft.com/office/officeart/2009/layout/CircleArrowProcess"/>
    <dgm:cxn modelId="{42B97FF5-2E9E-4A80-B708-A74FF9BB6793}" type="presParOf" srcId="{9DC46B99-AA45-4342-82E5-9BA4D8D3AC7C}" destId="{66081103-AF76-4FDB-8C3B-38685CCAFF7A}" srcOrd="0" destOrd="0" presId="urn:microsoft.com/office/officeart/2009/layout/CircleArrowProcess"/>
    <dgm:cxn modelId="{370D860F-763C-4855-82A7-C824EEE968FA}" type="presParOf" srcId="{3D547922-6BBD-4A5E-A60F-5456710E3AC3}" destId="{DE1DCA88-CB40-4EF6-B46B-15C25F611B92}" srcOrd="3" destOrd="0" presId="urn:microsoft.com/office/officeart/2009/layout/CircleArrowProcess"/>
    <dgm:cxn modelId="{8DCDE429-BE2F-4B62-82EE-54EB4F4FEB05}" type="presParOf" srcId="{3D547922-6BBD-4A5E-A60F-5456710E3AC3}" destId="{A13BD113-0ED4-4D7F-BABE-E2DF0E0E6F34}" srcOrd="4" destOrd="0" presId="urn:microsoft.com/office/officeart/2009/layout/CircleArrowProcess"/>
    <dgm:cxn modelId="{C27FD0DA-18F5-483B-91A2-69B938037806}" type="presParOf" srcId="{A13BD113-0ED4-4D7F-BABE-E2DF0E0E6F34}" destId="{EA5E0DEE-AFD3-43D3-8EA4-80937E22BA45}" srcOrd="0" destOrd="0" presId="urn:microsoft.com/office/officeart/2009/layout/CircleArrowProcess"/>
    <dgm:cxn modelId="{AD98BA06-B8FF-47CC-9069-3B16BFECE626}" type="presParOf" srcId="{3D547922-6BBD-4A5E-A60F-5456710E3AC3}" destId="{18B51CF3-C5E4-4E3D-98E7-7A0EF564DAAA}" srcOrd="5"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D019FF1-1D72-423E-8877-8EB823B63880}"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US"/>
        </a:p>
      </dgm:t>
    </dgm:pt>
    <dgm:pt modelId="{771CD3EA-E2E9-4F3D-A2DE-1440717188FF}">
      <dgm:prSet phldrT="[Text]" custT="1"/>
      <dgm:spPr/>
      <dgm:t>
        <a:bodyPr/>
        <a:lstStyle/>
        <a:p>
          <a:r>
            <a:rPr lang="en-US" sz="1300" b="0" spc="60" baseline="0">
              <a:latin typeface="Gibson" pitchFamily="2" charset="0"/>
              <a:cs typeface="Times New Roman" panose="02020603050405020304" pitchFamily="18" charset="0"/>
            </a:rPr>
            <a:t>Literature Review</a:t>
          </a:r>
        </a:p>
      </dgm:t>
    </dgm:pt>
    <dgm:pt modelId="{3CF29C40-AC70-4116-B6B8-87A58EA1A1F0}" type="parTrans" cxnId="{453C150A-EDB4-441B-9669-9B2172533DB0}">
      <dgm:prSet/>
      <dgm:spPr/>
      <dgm:t>
        <a:bodyPr/>
        <a:lstStyle/>
        <a:p>
          <a:endParaRPr lang="en-US" sz="1300" b="0" spc="60" baseline="0">
            <a:latin typeface="Gibson" pitchFamily="2" charset="0"/>
            <a:cs typeface="Times New Roman" panose="02020603050405020304" pitchFamily="18" charset="0"/>
          </a:endParaRPr>
        </a:p>
      </dgm:t>
    </dgm:pt>
    <dgm:pt modelId="{9F1CD84C-7EC4-4979-A4CD-00D0C290D6C7}" type="sibTrans" cxnId="{453C150A-EDB4-441B-9669-9B2172533DB0}">
      <dgm:prSet/>
      <dgm:spPr/>
      <dgm:t>
        <a:bodyPr/>
        <a:lstStyle/>
        <a:p>
          <a:endParaRPr lang="en-US" sz="1300" b="0" spc="60" baseline="0">
            <a:latin typeface="Gibson" pitchFamily="2" charset="0"/>
            <a:cs typeface="Times New Roman" panose="02020603050405020304" pitchFamily="18" charset="0"/>
          </a:endParaRPr>
        </a:p>
      </dgm:t>
    </dgm:pt>
    <dgm:pt modelId="{329B0426-DA57-43AE-BDAD-2C1D647D6395}">
      <dgm:prSet phldrT="[Text]" custT="1"/>
      <dgm:spPr/>
      <dgm:t>
        <a:bodyPr/>
        <a:lstStyle/>
        <a:p>
          <a:r>
            <a:rPr lang="en-US" sz="1300" b="0" spc="60" baseline="0">
              <a:latin typeface="Gibson" pitchFamily="2" charset="0"/>
              <a:cs typeface="Times New Roman" panose="02020603050405020304" pitchFamily="18" charset="0"/>
            </a:rPr>
            <a:t>Abstract Screening &amp; Partial Review</a:t>
          </a:r>
        </a:p>
      </dgm:t>
    </dgm:pt>
    <dgm:pt modelId="{409BC57E-CA42-4FCE-84F8-C0DF0D409A7F}" type="parTrans" cxnId="{C738C234-F836-42B9-880D-B7A80389D2BF}">
      <dgm:prSet/>
      <dgm:spPr/>
      <dgm:t>
        <a:bodyPr/>
        <a:lstStyle/>
        <a:p>
          <a:endParaRPr lang="en-US" sz="1300" b="0" spc="60" baseline="0">
            <a:latin typeface="Gibson" pitchFamily="2" charset="0"/>
            <a:cs typeface="Times New Roman" panose="02020603050405020304" pitchFamily="18" charset="0"/>
          </a:endParaRPr>
        </a:p>
      </dgm:t>
    </dgm:pt>
    <dgm:pt modelId="{4A3B06B9-6556-48EF-9835-EFB8FBB3D7F4}" type="sibTrans" cxnId="{C738C234-F836-42B9-880D-B7A80389D2BF}">
      <dgm:prSet/>
      <dgm:spPr/>
      <dgm:t>
        <a:bodyPr/>
        <a:lstStyle/>
        <a:p>
          <a:endParaRPr lang="en-US" sz="1300" b="0" spc="60" baseline="0">
            <a:latin typeface="Gibson" pitchFamily="2" charset="0"/>
            <a:cs typeface="Times New Roman" panose="02020603050405020304" pitchFamily="18" charset="0"/>
          </a:endParaRPr>
        </a:p>
      </dgm:t>
    </dgm:pt>
    <dgm:pt modelId="{DEE41456-B7A7-4A45-9CCC-2943EC119996}">
      <dgm:prSet phldrT="[Text]" custT="1"/>
      <dgm:spPr/>
      <dgm:t>
        <a:bodyPr/>
        <a:lstStyle/>
        <a:p>
          <a:r>
            <a:rPr lang="en-US" sz="1300" b="0" spc="60" baseline="0">
              <a:latin typeface="Gibson" pitchFamily="2" charset="0"/>
              <a:cs typeface="Times New Roman" panose="02020603050405020304" pitchFamily="18" charset="0"/>
            </a:rPr>
            <a:t>Full Review</a:t>
          </a:r>
        </a:p>
      </dgm:t>
    </dgm:pt>
    <dgm:pt modelId="{FADD6435-BCDA-42E6-B06C-193E1806A3F3}" type="parTrans" cxnId="{7BF00A82-0976-4071-AF6B-B1F8C8B33421}">
      <dgm:prSet/>
      <dgm:spPr/>
      <dgm:t>
        <a:bodyPr/>
        <a:lstStyle/>
        <a:p>
          <a:endParaRPr lang="en-US" sz="1300" b="0" spc="60" baseline="0">
            <a:latin typeface="Gibson" pitchFamily="2" charset="0"/>
            <a:cs typeface="Times New Roman" panose="02020603050405020304" pitchFamily="18" charset="0"/>
          </a:endParaRPr>
        </a:p>
      </dgm:t>
    </dgm:pt>
    <dgm:pt modelId="{5B4BE1CF-211D-48EC-82C6-7E1F95273CA5}" type="sibTrans" cxnId="{7BF00A82-0976-4071-AF6B-B1F8C8B33421}">
      <dgm:prSet/>
      <dgm:spPr/>
      <dgm:t>
        <a:bodyPr/>
        <a:lstStyle/>
        <a:p>
          <a:endParaRPr lang="en-US" sz="1300" b="0" spc="60" baseline="0">
            <a:latin typeface="Gibson" pitchFamily="2" charset="0"/>
            <a:cs typeface="Times New Roman" panose="02020603050405020304" pitchFamily="18" charset="0"/>
          </a:endParaRPr>
        </a:p>
      </dgm:t>
    </dgm:pt>
    <dgm:pt modelId="{A5C091B2-7FD1-4B25-94B6-0AC6E77FB5BD}">
      <dgm:prSet phldrT="[Text]" custT="1"/>
      <dgm:spPr/>
      <dgm:t>
        <a:bodyPr/>
        <a:lstStyle/>
        <a:p>
          <a:r>
            <a:rPr lang="en-US" sz="1300" b="0" spc="60" baseline="0">
              <a:latin typeface="Gibson" pitchFamily="2" charset="0"/>
              <a:cs typeface="Times New Roman" panose="02020603050405020304" pitchFamily="18" charset="0"/>
            </a:rPr>
            <a:t>Data Cleaning</a:t>
          </a:r>
        </a:p>
      </dgm:t>
    </dgm:pt>
    <dgm:pt modelId="{01463051-3A97-4276-8BA7-4758BB160197}" type="parTrans" cxnId="{8171948D-3926-46B4-B61F-D462599B5CA3}">
      <dgm:prSet/>
      <dgm:spPr/>
      <dgm:t>
        <a:bodyPr/>
        <a:lstStyle/>
        <a:p>
          <a:endParaRPr lang="en-US" sz="1300" b="0" spc="60" baseline="0">
            <a:latin typeface="Gibson" pitchFamily="2" charset="0"/>
            <a:cs typeface="Times New Roman" panose="02020603050405020304" pitchFamily="18" charset="0"/>
          </a:endParaRPr>
        </a:p>
      </dgm:t>
    </dgm:pt>
    <dgm:pt modelId="{DDD21EA2-BFBF-48B2-8C87-B892903A87F4}" type="sibTrans" cxnId="{8171948D-3926-46B4-B61F-D462599B5CA3}">
      <dgm:prSet/>
      <dgm:spPr/>
      <dgm:t>
        <a:bodyPr/>
        <a:lstStyle/>
        <a:p>
          <a:endParaRPr lang="en-US" sz="1300" b="0" spc="60" baseline="0">
            <a:latin typeface="Gibson" pitchFamily="2" charset="0"/>
            <a:cs typeface="Times New Roman" panose="02020603050405020304" pitchFamily="18" charset="0"/>
          </a:endParaRPr>
        </a:p>
      </dgm:t>
    </dgm:pt>
    <dgm:pt modelId="{8605595C-532E-40EC-8D58-92E96EBE3437}">
      <dgm:prSet phldrT="[Text]" custT="1"/>
      <dgm:spPr/>
      <dgm:t>
        <a:bodyPr/>
        <a:lstStyle/>
        <a:p>
          <a:r>
            <a:rPr lang="en-US" sz="1300" b="0" spc="60" baseline="0">
              <a:latin typeface="Gibson" pitchFamily="2" charset="0"/>
              <a:cs typeface="Times New Roman" panose="02020603050405020304" pitchFamily="18" charset="0"/>
            </a:rPr>
            <a:t>CEA Registry</a:t>
          </a:r>
        </a:p>
      </dgm:t>
    </dgm:pt>
    <dgm:pt modelId="{C2516F3F-28BF-4601-A743-BB8476B37FAF}" type="parTrans" cxnId="{9DE21020-C3D0-43D5-91EA-7C58A3D0E554}">
      <dgm:prSet/>
      <dgm:spPr/>
      <dgm:t>
        <a:bodyPr/>
        <a:lstStyle/>
        <a:p>
          <a:endParaRPr lang="en-US" sz="1300" b="0" spc="60" baseline="0">
            <a:latin typeface="Gibson" pitchFamily="2" charset="0"/>
            <a:cs typeface="Times New Roman" panose="02020603050405020304" pitchFamily="18" charset="0"/>
          </a:endParaRPr>
        </a:p>
      </dgm:t>
    </dgm:pt>
    <dgm:pt modelId="{D8CBCE0C-A94A-4560-B0AD-C1F4AB23E9CC}" type="sibTrans" cxnId="{9DE21020-C3D0-43D5-91EA-7C58A3D0E554}">
      <dgm:prSet/>
      <dgm:spPr/>
      <dgm:t>
        <a:bodyPr/>
        <a:lstStyle/>
        <a:p>
          <a:endParaRPr lang="en-US" sz="1300" b="0" spc="60" baseline="0">
            <a:latin typeface="Gibson" pitchFamily="2" charset="0"/>
            <a:cs typeface="Times New Roman" panose="02020603050405020304" pitchFamily="18" charset="0"/>
          </a:endParaRPr>
        </a:p>
      </dgm:t>
    </dgm:pt>
    <dgm:pt modelId="{4537EE4F-A281-401A-A5B5-DD3E30CA91A7}">
      <dgm:prSet phldrT="[Text]" custT="1"/>
      <dgm:spPr/>
      <dgm:t>
        <a:bodyPr/>
        <a:lstStyle/>
        <a:p>
          <a:endParaRPr lang="en-US" sz="1300" b="0" spc="60" baseline="0">
            <a:latin typeface="Gibson" pitchFamily="2" charset="0"/>
            <a:cs typeface="Times New Roman" panose="02020603050405020304" pitchFamily="18" charset="0"/>
          </a:endParaRPr>
        </a:p>
      </dgm:t>
    </dgm:pt>
    <dgm:pt modelId="{0017EB49-05D5-4C65-A18E-D890935DA278}" type="parTrans" cxnId="{39EEE405-FDC1-4F20-A9DB-0878E122AE57}">
      <dgm:prSet/>
      <dgm:spPr/>
      <dgm:t>
        <a:bodyPr/>
        <a:lstStyle/>
        <a:p>
          <a:endParaRPr lang="en-US" sz="1300" b="0" spc="60" baseline="0">
            <a:latin typeface="Gibson" pitchFamily="2" charset="0"/>
            <a:cs typeface="Times New Roman" panose="02020603050405020304" pitchFamily="18" charset="0"/>
          </a:endParaRPr>
        </a:p>
      </dgm:t>
    </dgm:pt>
    <dgm:pt modelId="{362E50AD-CCF9-4338-985F-D3A32590DA1C}" type="sibTrans" cxnId="{39EEE405-FDC1-4F20-A9DB-0878E122AE57}">
      <dgm:prSet/>
      <dgm:spPr/>
      <dgm:t>
        <a:bodyPr/>
        <a:lstStyle/>
        <a:p>
          <a:endParaRPr lang="en-US" sz="1300" b="0" spc="60" baseline="0">
            <a:latin typeface="Gibson" pitchFamily="2" charset="0"/>
            <a:cs typeface="Times New Roman" panose="02020603050405020304" pitchFamily="18" charset="0"/>
          </a:endParaRPr>
        </a:p>
      </dgm:t>
    </dgm:pt>
    <dgm:pt modelId="{BB014E95-9289-4564-A4B3-F577BA1500B4}" type="pres">
      <dgm:prSet presAssocID="{4D019FF1-1D72-423E-8877-8EB823B63880}" presName="Name0" presStyleCnt="0">
        <dgm:presLayoutVars>
          <dgm:chMax val="7"/>
          <dgm:chPref val="7"/>
          <dgm:dir/>
          <dgm:animLvl val="lvl"/>
        </dgm:presLayoutVars>
      </dgm:prSet>
      <dgm:spPr/>
      <dgm:t>
        <a:bodyPr/>
        <a:lstStyle/>
        <a:p>
          <a:endParaRPr lang="en-US"/>
        </a:p>
      </dgm:t>
    </dgm:pt>
    <dgm:pt modelId="{8FCE100D-7246-49B9-B28A-82BCA65F92E9}" type="pres">
      <dgm:prSet presAssocID="{771CD3EA-E2E9-4F3D-A2DE-1440717188FF}" presName="Accent1" presStyleCnt="0"/>
      <dgm:spPr/>
    </dgm:pt>
    <dgm:pt modelId="{FC12800A-F706-401E-AAF9-9A0D3FFF3380}" type="pres">
      <dgm:prSet presAssocID="{771CD3EA-E2E9-4F3D-A2DE-1440717188FF}" presName="Accent" presStyleLbl="node1" presStyleIdx="0" presStyleCnt="6" custLinFactNeighborY="-3770"/>
      <dgm:spPr>
        <a:solidFill>
          <a:schemeClr val="accent1">
            <a:lumMod val="20000"/>
            <a:lumOff val="80000"/>
          </a:schemeClr>
        </a:solidFill>
        <a:ln>
          <a:solidFill>
            <a:schemeClr val="tx2"/>
          </a:solidFill>
        </a:ln>
      </dgm:spPr>
    </dgm:pt>
    <dgm:pt modelId="{7423DFCE-87FC-426C-9408-A43053E114A0}" type="pres">
      <dgm:prSet presAssocID="{771CD3EA-E2E9-4F3D-A2DE-1440717188FF}" presName="Parent1" presStyleLbl="revTx" presStyleIdx="0" presStyleCnt="6" custLinFactNeighborY="-25664">
        <dgm:presLayoutVars>
          <dgm:chMax val="1"/>
          <dgm:chPref val="1"/>
          <dgm:bulletEnabled val="1"/>
        </dgm:presLayoutVars>
      </dgm:prSet>
      <dgm:spPr/>
      <dgm:t>
        <a:bodyPr/>
        <a:lstStyle/>
        <a:p>
          <a:endParaRPr lang="en-US"/>
        </a:p>
      </dgm:t>
    </dgm:pt>
    <dgm:pt modelId="{BAD7CCF9-58F9-4AF2-BB87-F354DF02F4AF}" type="pres">
      <dgm:prSet presAssocID="{329B0426-DA57-43AE-BDAD-2C1D647D6395}" presName="Accent2" presStyleCnt="0"/>
      <dgm:spPr/>
    </dgm:pt>
    <dgm:pt modelId="{61381FDA-9BCC-4703-B5E0-EE5BF9A9D860}" type="pres">
      <dgm:prSet presAssocID="{329B0426-DA57-43AE-BDAD-2C1D647D6395}" presName="Accent" presStyleLbl="node1" presStyleIdx="1" presStyleCnt="6" custLinFactNeighborY="-3770"/>
      <dgm:spPr>
        <a:solidFill>
          <a:schemeClr val="accent1">
            <a:lumMod val="20000"/>
            <a:lumOff val="80000"/>
          </a:schemeClr>
        </a:solidFill>
        <a:ln>
          <a:solidFill>
            <a:schemeClr val="tx2"/>
          </a:solidFill>
        </a:ln>
      </dgm:spPr>
    </dgm:pt>
    <dgm:pt modelId="{53065748-26F8-4994-9BB4-A29369C6A100}" type="pres">
      <dgm:prSet presAssocID="{329B0426-DA57-43AE-BDAD-2C1D647D6395}" presName="Parent2" presStyleLbl="revTx" presStyleIdx="1" presStyleCnt="6" custLinFactNeighborX="-675" custLinFactNeighborY="-21612">
        <dgm:presLayoutVars>
          <dgm:chMax val="1"/>
          <dgm:chPref val="1"/>
          <dgm:bulletEnabled val="1"/>
        </dgm:presLayoutVars>
      </dgm:prSet>
      <dgm:spPr/>
      <dgm:t>
        <a:bodyPr/>
        <a:lstStyle/>
        <a:p>
          <a:endParaRPr lang="en-US"/>
        </a:p>
      </dgm:t>
    </dgm:pt>
    <dgm:pt modelId="{338339DD-0C02-4813-8BA7-DC272810D6D6}" type="pres">
      <dgm:prSet presAssocID="{4537EE4F-A281-401A-A5B5-DD3E30CA91A7}" presName="Accent3" presStyleCnt="0"/>
      <dgm:spPr/>
    </dgm:pt>
    <dgm:pt modelId="{5212269D-FEF4-407E-AA71-8DB0F57EB4F6}" type="pres">
      <dgm:prSet presAssocID="{4537EE4F-A281-401A-A5B5-DD3E30CA91A7}" presName="Accent" presStyleLbl="node1" presStyleIdx="2" presStyleCnt="6" custLinFactNeighborY="-3770"/>
      <dgm:spPr>
        <a:solidFill>
          <a:schemeClr val="accent2">
            <a:lumMod val="20000"/>
            <a:lumOff val="80000"/>
          </a:schemeClr>
        </a:solidFill>
        <a:ln>
          <a:solidFill>
            <a:srgbClr val="C00000"/>
          </a:solidFill>
        </a:ln>
      </dgm:spPr>
    </dgm:pt>
    <dgm:pt modelId="{22C048F4-D53E-4550-BCA7-79CE13ABB8E3}" type="pres">
      <dgm:prSet presAssocID="{4537EE4F-A281-401A-A5B5-DD3E30CA91A7}" presName="Parent3" presStyleLbl="revTx" presStyleIdx="2" presStyleCnt="6">
        <dgm:presLayoutVars>
          <dgm:chMax val="1"/>
          <dgm:chPref val="1"/>
          <dgm:bulletEnabled val="1"/>
        </dgm:presLayoutVars>
      </dgm:prSet>
      <dgm:spPr/>
      <dgm:t>
        <a:bodyPr/>
        <a:lstStyle/>
        <a:p>
          <a:endParaRPr lang="en-US"/>
        </a:p>
      </dgm:t>
    </dgm:pt>
    <dgm:pt modelId="{548A5EA8-B900-42B1-B923-50B5ED78B62B}" type="pres">
      <dgm:prSet presAssocID="{DEE41456-B7A7-4A45-9CCC-2943EC119996}" presName="Accent4" presStyleCnt="0"/>
      <dgm:spPr/>
    </dgm:pt>
    <dgm:pt modelId="{90194D13-A198-437D-B5F3-BD839EEFF7BA}" type="pres">
      <dgm:prSet presAssocID="{DEE41456-B7A7-4A45-9CCC-2943EC119996}" presName="Accent" presStyleLbl="node1" presStyleIdx="3" presStyleCnt="6" custLinFactNeighborY="-3770"/>
      <dgm:spPr>
        <a:solidFill>
          <a:schemeClr val="accent1">
            <a:lumMod val="20000"/>
            <a:lumOff val="80000"/>
          </a:schemeClr>
        </a:solidFill>
        <a:ln>
          <a:solidFill>
            <a:schemeClr val="tx2"/>
          </a:solidFill>
        </a:ln>
      </dgm:spPr>
    </dgm:pt>
    <dgm:pt modelId="{99168E5C-F50E-4D4F-9604-DEEDF98FFC5B}" type="pres">
      <dgm:prSet presAssocID="{DEE41456-B7A7-4A45-9CCC-2943EC119996}" presName="Parent4" presStyleLbl="revTx" presStyleIdx="3" presStyleCnt="6" custLinFactNeighborY="-20261">
        <dgm:presLayoutVars>
          <dgm:chMax val="1"/>
          <dgm:chPref val="1"/>
          <dgm:bulletEnabled val="1"/>
        </dgm:presLayoutVars>
      </dgm:prSet>
      <dgm:spPr/>
      <dgm:t>
        <a:bodyPr/>
        <a:lstStyle/>
        <a:p>
          <a:endParaRPr lang="en-US"/>
        </a:p>
      </dgm:t>
    </dgm:pt>
    <dgm:pt modelId="{D973364D-02CA-4249-A796-3A1A00666C68}" type="pres">
      <dgm:prSet presAssocID="{A5C091B2-7FD1-4B25-94B6-0AC6E77FB5BD}" presName="Accent5" presStyleCnt="0"/>
      <dgm:spPr/>
    </dgm:pt>
    <dgm:pt modelId="{A5A227AB-02A4-439E-80A6-4C0E6720654B}" type="pres">
      <dgm:prSet presAssocID="{A5C091B2-7FD1-4B25-94B6-0AC6E77FB5BD}" presName="Accent" presStyleLbl="node1" presStyleIdx="4" presStyleCnt="6" custLinFactNeighborY="-3770"/>
      <dgm:spPr>
        <a:solidFill>
          <a:schemeClr val="accent1">
            <a:lumMod val="20000"/>
            <a:lumOff val="80000"/>
          </a:schemeClr>
        </a:solidFill>
        <a:ln>
          <a:solidFill>
            <a:schemeClr val="tx2"/>
          </a:solidFill>
        </a:ln>
      </dgm:spPr>
    </dgm:pt>
    <dgm:pt modelId="{8C203531-8159-49D4-B564-580ED77E9F0F}" type="pres">
      <dgm:prSet presAssocID="{A5C091B2-7FD1-4B25-94B6-0AC6E77FB5BD}" presName="Parent5" presStyleLbl="revTx" presStyleIdx="4" presStyleCnt="6" custLinFactNeighborX="1350" custLinFactNeighborY="-20261">
        <dgm:presLayoutVars>
          <dgm:chMax val="1"/>
          <dgm:chPref val="1"/>
          <dgm:bulletEnabled val="1"/>
        </dgm:presLayoutVars>
      </dgm:prSet>
      <dgm:spPr/>
      <dgm:t>
        <a:bodyPr/>
        <a:lstStyle/>
        <a:p>
          <a:endParaRPr lang="en-US"/>
        </a:p>
      </dgm:t>
    </dgm:pt>
    <dgm:pt modelId="{14C34BD5-2213-4EED-8A2E-06DD10519257}" type="pres">
      <dgm:prSet presAssocID="{8605595C-532E-40EC-8D58-92E96EBE3437}" presName="Accent6" presStyleCnt="0"/>
      <dgm:spPr/>
    </dgm:pt>
    <dgm:pt modelId="{EAE65189-3B08-4212-A78F-D30C628D7FB7}" type="pres">
      <dgm:prSet presAssocID="{8605595C-532E-40EC-8D58-92E96EBE3437}" presName="Accent" presStyleLbl="node1" presStyleIdx="5" presStyleCnt="6" custLinFactNeighborY="-4380"/>
      <dgm:spPr>
        <a:solidFill>
          <a:schemeClr val="accent1"/>
        </a:solidFill>
        <a:ln>
          <a:solidFill>
            <a:srgbClr val="002060"/>
          </a:solidFill>
        </a:ln>
      </dgm:spPr>
    </dgm:pt>
    <dgm:pt modelId="{97497724-0CF1-43E2-AE69-1E041757F26E}" type="pres">
      <dgm:prSet presAssocID="{8605595C-532E-40EC-8D58-92E96EBE3437}" presName="Parent6" presStyleLbl="revTx" presStyleIdx="5" presStyleCnt="6" custLinFactNeighborY="-14858">
        <dgm:presLayoutVars>
          <dgm:chMax val="1"/>
          <dgm:chPref val="1"/>
          <dgm:bulletEnabled val="1"/>
        </dgm:presLayoutVars>
      </dgm:prSet>
      <dgm:spPr/>
      <dgm:t>
        <a:bodyPr/>
        <a:lstStyle/>
        <a:p>
          <a:endParaRPr lang="en-US"/>
        </a:p>
      </dgm:t>
    </dgm:pt>
  </dgm:ptLst>
  <dgm:cxnLst>
    <dgm:cxn modelId="{453C150A-EDB4-441B-9669-9B2172533DB0}" srcId="{4D019FF1-1D72-423E-8877-8EB823B63880}" destId="{771CD3EA-E2E9-4F3D-A2DE-1440717188FF}" srcOrd="0" destOrd="0" parTransId="{3CF29C40-AC70-4116-B6B8-87A58EA1A1F0}" sibTransId="{9F1CD84C-7EC4-4979-A4CD-00D0C290D6C7}"/>
    <dgm:cxn modelId="{7BF00A82-0976-4071-AF6B-B1F8C8B33421}" srcId="{4D019FF1-1D72-423E-8877-8EB823B63880}" destId="{DEE41456-B7A7-4A45-9CCC-2943EC119996}" srcOrd="3" destOrd="0" parTransId="{FADD6435-BCDA-42E6-B06C-193E1806A3F3}" sibTransId="{5B4BE1CF-211D-48EC-82C6-7E1F95273CA5}"/>
    <dgm:cxn modelId="{39EEE405-FDC1-4F20-A9DB-0878E122AE57}" srcId="{4D019FF1-1D72-423E-8877-8EB823B63880}" destId="{4537EE4F-A281-401A-A5B5-DD3E30CA91A7}" srcOrd="2" destOrd="0" parTransId="{0017EB49-05D5-4C65-A18E-D890935DA278}" sibTransId="{362E50AD-CCF9-4338-985F-D3A32590DA1C}"/>
    <dgm:cxn modelId="{AAD21E43-2CA8-468D-8E84-1206A54E3FB1}" type="presOf" srcId="{DEE41456-B7A7-4A45-9CCC-2943EC119996}" destId="{99168E5C-F50E-4D4F-9604-DEEDF98FFC5B}" srcOrd="0" destOrd="0" presId="urn:microsoft.com/office/officeart/2009/layout/CircleArrowProcess"/>
    <dgm:cxn modelId="{E1A27A4D-EE1E-420A-B0CB-D7184D6D4504}" type="presOf" srcId="{A5C091B2-7FD1-4B25-94B6-0AC6E77FB5BD}" destId="{8C203531-8159-49D4-B564-580ED77E9F0F}" srcOrd="0" destOrd="0" presId="urn:microsoft.com/office/officeart/2009/layout/CircleArrowProcess"/>
    <dgm:cxn modelId="{1F34ED0C-9CC4-40C8-90F4-F00171B7802D}" type="presOf" srcId="{329B0426-DA57-43AE-BDAD-2C1D647D6395}" destId="{53065748-26F8-4994-9BB4-A29369C6A100}" srcOrd="0" destOrd="0" presId="urn:microsoft.com/office/officeart/2009/layout/CircleArrowProcess"/>
    <dgm:cxn modelId="{6A6E7A16-D971-4E6B-A2C1-C18BDA93D8A1}" type="presOf" srcId="{771CD3EA-E2E9-4F3D-A2DE-1440717188FF}" destId="{7423DFCE-87FC-426C-9408-A43053E114A0}" srcOrd="0" destOrd="0" presId="urn:microsoft.com/office/officeart/2009/layout/CircleArrowProcess"/>
    <dgm:cxn modelId="{2BAB0549-3E76-4D34-B738-547FC16216FF}" type="presOf" srcId="{8605595C-532E-40EC-8D58-92E96EBE3437}" destId="{97497724-0CF1-43E2-AE69-1E041757F26E}" srcOrd="0" destOrd="0" presId="urn:microsoft.com/office/officeart/2009/layout/CircleArrowProcess"/>
    <dgm:cxn modelId="{C738C234-F836-42B9-880D-B7A80389D2BF}" srcId="{4D019FF1-1D72-423E-8877-8EB823B63880}" destId="{329B0426-DA57-43AE-BDAD-2C1D647D6395}" srcOrd="1" destOrd="0" parTransId="{409BC57E-CA42-4FCE-84F8-C0DF0D409A7F}" sibTransId="{4A3B06B9-6556-48EF-9835-EFB8FBB3D7F4}"/>
    <dgm:cxn modelId="{D77634D3-7F1D-4A1E-98ED-3EBD36851898}" type="presOf" srcId="{4D019FF1-1D72-423E-8877-8EB823B63880}" destId="{BB014E95-9289-4564-A4B3-F577BA1500B4}" srcOrd="0" destOrd="0" presId="urn:microsoft.com/office/officeart/2009/layout/CircleArrowProcess"/>
    <dgm:cxn modelId="{9DE21020-C3D0-43D5-91EA-7C58A3D0E554}" srcId="{4D019FF1-1D72-423E-8877-8EB823B63880}" destId="{8605595C-532E-40EC-8D58-92E96EBE3437}" srcOrd="5" destOrd="0" parTransId="{C2516F3F-28BF-4601-A743-BB8476B37FAF}" sibTransId="{D8CBCE0C-A94A-4560-B0AD-C1F4AB23E9CC}"/>
    <dgm:cxn modelId="{F58700D3-5FD6-42E3-80BC-B3EDCF492F80}" type="presOf" srcId="{4537EE4F-A281-401A-A5B5-DD3E30CA91A7}" destId="{22C048F4-D53E-4550-BCA7-79CE13ABB8E3}" srcOrd="0" destOrd="0" presId="urn:microsoft.com/office/officeart/2009/layout/CircleArrowProcess"/>
    <dgm:cxn modelId="{8171948D-3926-46B4-B61F-D462599B5CA3}" srcId="{4D019FF1-1D72-423E-8877-8EB823B63880}" destId="{A5C091B2-7FD1-4B25-94B6-0AC6E77FB5BD}" srcOrd="4" destOrd="0" parTransId="{01463051-3A97-4276-8BA7-4758BB160197}" sibTransId="{DDD21EA2-BFBF-48B2-8C87-B892903A87F4}"/>
    <dgm:cxn modelId="{A9885203-05AD-4CEA-9FD1-023D68FAA2C4}" type="presParOf" srcId="{BB014E95-9289-4564-A4B3-F577BA1500B4}" destId="{8FCE100D-7246-49B9-B28A-82BCA65F92E9}" srcOrd="0" destOrd="0" presId="urn:microsoft.com/office/officeart/2009/layout/CircleArrowProcess"/>
    <dgm:cxn modelId="{7311EF47-CAA0-4952-B747-DC3D298DECF8}" type="presParOf" srcId="{8FCE100D-7246-49B9-B28A-82BCA65F92E9}" destId="{FC12800A-F706-401E-AAF9-9A0D3FFF3380}" srcOrd="0" destOrd="0" presId="urn:microsoft.com/office/officeart/2009/layout/CircleArrowProcess"/>
    <dgm:cxn modelId="{ACEDE223-4FD7-4683-81D9-ACE0EFA90836}" type="presParOf" srcId="{BB014E95-9289-4564-A4B3-F577BA1500B4}" destId="{7423DFCE-87FC-426C-9408-A43053E114A0}" srcOrd="1" destOrd="0" presId="urn:microsoft.com/office/officeart/2009/layout/CircleArrowProcess"/>
    <dgm:cxn modelId="{0F0B403C-F2AD-45CF-A38A-23E8A143649D}" type="presParOf" srcId="{BB014E95-9289-4564-A4B3-F577BA1500B4}" destId="{BAD7CCF9-58F9-4AF2-BB87-F354DF02F4AF}" srcOrd="2" destOrd="0" presId="urn:microsoft.com/office/officeart/2009/layout/CircleArrowProcess"/>
    <dgm:cxn modelId="{30C8FE41-FD87-4EC0-8D55-55CF80AB1D17}" type="presParOf" srcId="{BAD7CCF9-58F9-4AF2-BB87-F354DF02F4AF}" destId="{61381FDA-9BCC-4703-B5E0-EE5BF9A9D860}" srcOrd="0" destOrd="0" presId="urn:microsoft.com/office/officeart/2009/layout/CircleArrowProcess"/>
    <dgm:cxn modelId="{CBC5C87B-3A65-41E8-967E-96452F5157E3}" type="presParOf" srcId="{BB014E95-9289-4564-A4B3-F577BA1500B4}" destId="{53065748-26F8-4994-9BB4-A29369C6A100}" srcOrd="3" destOrd="0" presId="urn:microsoft.com/office/officeart/2009/layout/CircleArrowProcess"/>
    <dgm:cxn modelId="{6E4CDD14-35B4-44A3-BAE8-728350D778CD}" type="presParOf" srcId="{BB014E95-9289-4564-A4B3-F577BA1500B4}" destId="{338339DD-0C02-4813-8BA7-DC272810D6D6}" srcOrd="4" destOrd="0" presId="urn:microsoft.com/office/officeart/2009/layout/CircleArrowProcess"/>
    <dgm:cxn modelId="{F9F518CA-758B-4E23-B4A1-208514A6AFC1}" type="presParOf" srcId="{338339DD-0C02-4813-8BA7-DC272810D6D6}" destId="{5212269D-FEF4-407E-AA71-8DB0F57EB4F6}" srcOrd="0" destOrd="0" presId="urn:microsoft.com/office/officeart/2009/layout/CircleArrowProcess"/>
    <dgm:cxn modelId="{41ECFF04-5195-4AA9-A831-96D8D5E632BA}" type="presParOf" srcId="{BB014E95-9289-4564-A4B3-F577BA1500B4}" destId="{22C048F4-D53E-4550-BCA7-79CE13ABB8E3}" srcOrd="5" destOrd="0" presId="urn:microsoft.com/office/officeart/2009/layout/CircleArrowProcess"/>
    <dgm:cxn modelId="{3CE39C2E-AE84-4BFD-847F-1CF88171D8F0}" type="presParOf" srcId="{BB014E95-9289-4564-A4B3-F577BA1500B4}" destId="{548A5EA8-B900-42B1-B923-50B5ED78B62B}" srcOrd="6" destOrd="0" presId="urn:microsoft.com/office/officeart/2009/layout/CircleArrowProcess"/>
    <dgm:cxn modelId="{D65E4CB7-12B6-4DF3-8AF4-1F90CB77C005}" type="presParOf" srcId="{548A5EA8-B900-42B1-B923-50B5ED78B62B}" destId="{90194D13-A198-437D-B5F3-BD839EEFF7BA}" srcOrd="0" destOrd="0" presId="urn:microsoft.com/office/officeart/2009/layout/CircleArrowProcess"/>
    <dgm:cxn modelId="{9DBE9FFD-2C48-4700-9197-AF36FCDB7094}" type="presParOf" srcId="{BB014E95-9289-4564-A4B3-F577BA1500B4}" destId="{99168E5C-F50E-4D4F-9604-DEEDF98FFC5B}" srcOrd="7" destOrd="0" presId="urn:microsoft.com/office/officeart/2009/layout/CircleArrowProcess"/>
    <dgm:cxn modelId="{0527B2CC-38F2-4F15-AB64-5102D5614C24}" type="presParOf" srcId="{BB014E95-9289-4564-A4B3-F577BA1500B4}" destId="{D973364D-02CA-4249-A796-3A1A00666C68}" srcOrd="8" destOrd="0" presId="urn:microsoft.com/office/officeart/2009/layout/CircleArrowProcess"/>
    <dgm:cxn modelId="{E1C2155F-CCA2-4F2F-9A64-E8E6F316DD31}" type="presParOf" srcId="{D973364D-02CA-4249-A796-3A1A00666C68}" destId="{A5A227AB-02A4-439E-80A6-4C0E6720654B}" srcOrd="0" destOrd="0" presId="urn:microsoft.com/office/officeart/2009/layout/CircleArrowProcess"/>
    <dgm:cxn modelId="{80CD19FA-18E7-4B31-AA5F-47EBA0893F45}" type="presParOf" srcId="{BB014E95-9289-4564-A4B3-F577BA1500B4}" destId="{8C203531-8159-49D4-B564-580ED77E9F0F}" srcOrd="9" destOrd="0" presId="urn:microsoft.com/office/officeart/2009/layout/CircleArrowProcess"/>
    <dgm:cxn modelId="{EF650D84-E7EE-41D8-BCE9-5BA9260498BC}" type="presParOf" srcId="{BB014E95-9289-4564-A4B3-F577BA1500B4}" destId="{14C34BD5-2213-4EED-8A2E-06DD10519257}" srcOrd="10" destOrd="0" presId="urn:microsoft.com/office/officeart/2009/layout/CircleArrowProcess"/>
    <dgm:cxn modelId="{D4A92FA7-FB2C-4020-ABB3-1DFD2C130B8F}" type="presParOf" srcId="{14C34BD5-2213-4EED-8A2E-06DD10519257}" destId="{EAE65189-3B08-4212-A78F-D30C628D7FB7}" srcOrd="0" destOrd="0" presId="urn:microsoft.com/office/officeart/2009/layout/CircleArrowProcess"/>
    <dgm:cxn modelId="{D5C45BCF-C626-413A-8834-FCAADBE8DAFD}" type="presParOf" srcId="{BB014E95-9289-4564-A4B3-F577BA1500B4}" destId="{97497724-0CF1-43E2-AE69-1E041757F26E}" srcOrd="11" destOrd="0" presId="urn:microsoft.com/office/officeart/2009/layout/CircleArrow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7DACDF-583B-4108-ACCE-96D271DC3AD0}">
      <dsp:nvSpPr>
        <dsp:cNvPr id="0" name=""/>
        <dsp:cNvSpPr/>
      </dsp:nvSpPr>
      <dsp:spPr>
        <a:xfrm>
          <a:off x="333351" y="0"/>
          <a:ext cx="234809" cy="234845"/>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CFDD0E-28FD-4427-9083-6D68EB8DAE0A}">
      <dsp:nvSpPr>
        <dsp:cNvPr id="0" name=""/>
        <dsp:cNvSpPr/>
      </dsp:nvSpPr>
      <dsp:spPr>
        <a:xfrm>
          <a:off x="385252" y="84786"/>
          <a:ext cx="130479" cy="65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a:p>
      </dsp:txBody>
      <dsp:txXfrm>
        <a:off x="385252" y="84786"/>
        <a:ext cx="130479" cy="65224"/>
      </dsp:txXfrm>
    </dsp:sp>
    <dsp:sp modelId="{66081103-AF76-4FDB-8C3B-38685CCAFF7A}">
      <dsp:nvSpPr>
        <dsp:cNvPr id="0" name=""/>
        <dsp:cNvSpPr/>
      </dsp:nvSpPr>
      <dsp:spPr>
        <a:xfrm>
          <a:off x="268133" y="134936"/>
          <a:ext cx="234809" cy="234845"/>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1DCA88-CB40-4EF6-B46B-15C25F611B92}">
      <dsp:nvSpPr>
        <dsp:cNvPr id="0" name=""/>
        <dsp:cNvSpPr/>
      </dsp:nvSpPr>
      <dsp:spPr>
        <a:xfrm>
          <a:off x="320298" y="220503"/>
          <a:ext cx="130479" cy="65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a:p>
      </dsp:txBody>
      <dsp:txXfrm>
        <a:off x="320298" y="220503"/>
        <a:ext cx="130479" cy="65224"/>
      </dsp:txXfrm>
    </dsp:sp>
    <dsp:sp modelId="{EA5E0DEE-AFD3-43D3-8EA4-80937E22BA45}">
      <dsp:nvSpPr>
        <dsp:cNvPr id="0" name=""/>
        <dsp:cNvSpPr/>
      </dsp:nvSpPr>
      <dsp:spPr>
        <a:xfrm>
          <a:off x="350063" y="286020"/>
          <a:ext cx="201738" cy="201818"/>
        </a:xfrm>
        <a:prstGeom prst="blockArc">
          <a:avLst>
            <a:gd name="adj1" fmla="val 13500000"/>
            <a:gd name="adj2" fmla="val 10800000"/>
            <a:gd name="adj3" fmla="val 127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B51CF3-C5E4-4E3D-98E7-7A0EF564DAAA}">
      <dsp:nvSpPr>
        <dsp:cNvPr id="0" name=""/>
        <dsp:cNvSpPr/>
      </dsp:nvSpPr>
      <dsp:spPr>
        <a:xfrm>
          <a:off x="385560" y="356415"/>
          <a:ext cx="130479" cy="65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a:p>
      </dsp:txBody>
      <dsp:txXfrm>
        <a:off x="385560" y="356415"/>
        <a:ext cx="130479" cy="652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12800A-F706-401E-AAF9-9A0D3FFF3380}">
      <dsp:nvSpPr>
        <dsp:cNvPr id="0" name=""/>
        <dsp:cNvSpPr/>
      </dsp:nvSpPr>
      <dsp:spPr>
        <a:xfrm>
          <a:off x="1196843" y="-76757"/>
          <a:ext cx="2035798" cy="2036018"/>
        </a:xfrm>
        <a:prstGeom prst="circularArrow">
          <a:avLst>
            <a:gd name="adj1" fmla="val 10980"/>
            <a:gd name="adj2" fmla="val 1142322"/>
            <a:gd name="adj3" fmla="val 4500000"/>
            <a:gd name="adj4" fmla="val 10800000"/>
            <a:gd name="adj5" fmla="val 12500"/>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sp>
    <dsp:sp modelId="{7423DFCE-87FC-426C-9408-A43053E114A0}">
      <dsp:nvSpPr>
        <dsp:cNvPr id="0" name=""/>
        <dsp:cNvSpPr/>
      </dsp:nvSpPr>
      <dsp:spPr>
        <a:xfrm>
          <a:off x="1646315" y="591586"/>
          <a:ext cx="1136090" cy="5676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spc="60" baseline="0">
              <a:latin typeface="Gibson" pitchFamily="2" charset="0"/>
              <a:cs typeface="Times New Roman" panose="02020603050405020304" pitchFamily="18" charset="0"/>
            </a:rPr>
            <a:t>Literature Review</a:t>
          </a:r>
        </a:p>
      </dsp:txBody>
      <dsp:txXfrm>
        <a:off x="1646315" y="591586"/>
        <a:ext cx="1136090" cy="567668"/>
      </dsp:txXfrm>
    </dsp:sp>
    <dsp:sp modelId="{61381FDA-9BCC-4703-B5E0-EE5BF9A9D860}">
      <dsp:nvSpPr>
        <dsp:cNvPr id="0" name=""/>
        <dsp:cNvSpPr/>
      </dsp:nvSpPr>
      <dsp:spPr>
        <a:xfrm>
          <a:off x="631280" y="1093430"/>
          <a:ext cx="2035798" cy="2036018"/>
        </a:xfrm>
        <a:prstGeom prst="leftCircularArrow">
          <a:avLst>
            <a:gd name="adj1" fmla="val 10980"/>
            <a:gd name="adj2" fmla="val 1142322"/>
            <a:gd name="adj3" fmla="val 6300000"/>
            <a:gd name="adj4" fmla="val 18900000"/>
            <a:gd name="adj5" fmla="val 12500"/>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sp>
    <dsp:sp modelId="{53065748-26F8-4994-9BB4-A29369C6A100}">
      <dsp:nvSpPr>
        <dsp:cNvPr id="0" name=""/>
        <dsp:cNvSpPr/>
      </dsp:nvSpPr>
      <dsp:spPr>
        <a:xfrm>
          <a:off x="1070792" y="1787099"/>
          <a:ext cx="1136090" cy="5676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spc="60" baseline="0">
              <a:latin typeface="Gibson" pitchFamily="2" charset="0"/>
              <a:cs typeface="Times New Roman" panose="02020603050405020304" pitchFamily="18" charset="0"/>
            </a:rPr>
            <a:t>Abstract Screening &amp; Partial Review</a:t>
          </a:r>
        </a:p>
      </dsp:txBody>
      <dsp:txXfrm>
        <a:off x="1070792" y="1787099"/>
        <a:ext cx="1136090" cy="567668"/>
      </dsp:txXfrm>
    </dsp:sp>
    <dsp:sp modelId="{5212269D-FEF4-407E-AA71-8DB0F57EB4F6}">
      <dsp:nvSpPr>
        <dsp:cNvPr id="0" name=""/>
        <dsp:cNvSpPr/>
      </dsp:nvSpPr>
      <dsp:spPr>
        <a:xfrm>
          <a:off x="1196843" y="2267490"/>
          <a:ext cx="2035798" cy="2036018"/>
        </a:xfrm>
        <a:prstGeom prst="circularArrow">
          <a:avLst>
            <a:gd name="adj1" fmla="val 10980"/>
            <a:gd name="adj2" fmla="val 1142322"/>
            <a:gd name="adj3" fmla="val 4500000"/>
            <a:gd name="adj4" fmla="val 13500000"/>
            <a:gd name="adj5" fmla="val 12500"/>
          </a:avLst>
        </a:prstGeom>
        <a:solidFill>
          <a:schemeClr val="accent2">
            <a:lumMod val="20000"/>
            <a:lumOff val="8000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22C048F4-D53E-4550-BCA7-79CE13ABB8E3}">
      <dsp:nvSpPr>
        <dsp:cNvPr id="0" name=""/>
        <dsp:cNvSpPr/>
      </dsp:nvSpPr>
      <dsp:spPr>
        <a:xfrm>
          <a:off x="1646315" y="3081520"/>
          <a:ext cx="1136090" cy="5676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en-US" sz="1300" b="0" kern="1200" spc="60" baseline="0">
            <a:latin typeface="Gibson" pitchFamily="2" charset="0"/>
            <a:cs typeface="Times New Roman" panose="02020603050405020304" pitchFamily="18" charset="0"/>
          </a:endParaRPr>
        </a:p>
      </dsp:txBody>
      <dsp:txXfrm>
        <a:off x="1646315" y="3081520"/>
        <a:ext cx="1136090" cy="567668"/>
      </dsp:txXfrm>
    </dsp:sp>
    <dsp:sp modelId="{90194D13-A198-437D-B5F3-BD839EEFF7BA}">
      <dsp:nvSpPr>
        <dsp:cNvPr id="0" name=""/>
        <dsp:cNvSpPr/>
      </dsp:nvSpPr>
      <dsp:spPr>
        <a:xfrm>
          <a:off x="631280" y="3440001"/>
          <a:ext cx="2035798" cy="2036018"/>
        </a:xfrm>
        <a:prstGeom prst="leftCircularArrow">
          <a:avLst>
            <a:gd name="adj1" fmla="val 10980"/>
            <a:gd name="adj2" fmla="val 1142322"/>
            <a:gd name="adj3" fmla="val 6300000"/>
            <a:gd name="adj4" fmla="val 18900000"/>
            <a:gd name="adj5" fmla="val 12500"/>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sp>
    <dsp:sp modelId="{99168E5C-F50E-4D4F-9604-DEEDF98FFC5B}">
      <dsp:nvSpPr>
        <dsp:cNvPr id="0" name=""/>
        <dsp:cNvSpPr/>
      </dsp:nvSpPr>
      <dsp:spPr>
        <a:xfrm>
          <a:off x="1078461" y="4139016"/>
          <a:ext cx="1136090" cy="5676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spc="60" baseline="0">
              <a:latin typeface="Gibson" pitchFamily="2" charset="0"/>
              <a:cs typeface="Times New Roman" panose="02020603050405020304" pitchFamily="18" charset="0"/>
            </a:rPr>
            <a:t>Full Review</a:t>
          </a:r>
        </a:p>
      </dsp:txBody>
      <dsp:txXfrm>
        <a:off x="1078461" y="4139016"/>
        <a:ext cx="1136090" cy="567668"/>
      </dsp:txXfrm>
    </dsp:sp>
    <dsp:sp modelId="{A5A227AB-02A4-439E-80A6-4C0E6720654B}">
      <dsp:nvSpPr>
        <dsp:cNvPr id="0" name=""/>
        <dsp:cNvSpPr/>
      </dsp:nvSpPr>
      <dsp:spPr>
        <a:xfrm>
          <a:off x="1196843" y="4610963"/>
          <a:ext cx="2035798" cy="2036018"/>
        </a:xfrm>
        <a:prstGeom prst="circularArrow">
          <a:avLst>
            <a:gd name="adj1" fmla="val 10980"/>
            <a:gd name="adj2" fmla="val 1142322"/>
            <a:gd name="adj3" fmla="val 4500000"/>
            <a:gd name="adj4" fmla="val 13500000"/>
            <a:gd name="adj5" fmla="val 12500"/>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sp>
    <dsp:sp modelId="{8C203531-8159-49D4-B564-580ED77E9F0F}">
      <dsp:nvSpPr>
        <dsp:cNvPr id="0" name=""/>
        <dsp:cNvSpPr/>
      </dsp:nvSpPr>
      <dsp:spPr>
        <a:xfrm>
          <a:off x="1661652" y="5309978"/>
          <a:ext cx="1136090" cy="5676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spc="60" baseline="0">
              <a:latin typeface="Gibson" pitchFamily="2" charset="0"/>
              <a:cs typeface="Times New Roman" panose="02020603050405020304" pitchFamily="18" charset="0"/>
            </a:rPr>
            <a:t>Data Cleaning</a:t>
          </a:r>
        </a:p>
      </dsp:txBody>
      <dsp:txXfrm>
        <a:off x="1661652" y="5309978"/>
        <a:ext cx="1136090" cy="567668"/>
      </dsp:txXfrm>
    </dsp:sp>
    <dsp:sp modelId="{EAE65189-3B08-4212-A78F-D30C628D7FB7}">
      <dsp:nvSpPr>
        <dsp:cNvPr id="0" name=""/>
        <dsp:cNvSpPr/>
      </dsp:nvSpPr>
      <dsp:spPr>
        <a:xfrm>
          <a:off x="776394" y="5917551"/>
          <a:ext cx="1749007" cy="1750247"/>
        </a:xfrm>
        <a:prstGeom prst="blockArc">
          <a:avLst>
            <a:gd name="adj1" fmla="val 0"/>
            <a:gd name="adj2" fmla="val 18900000"/>
            <a:gd name="adj3" fmla="val 12740"/>
          </a:avLst>
        </a:prstGeom>
        <a:solidFill>
          <a:schemeClr val="accent1"/>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sp>
    <dsp:sp modelId="{97497724-0CF1-43E2-AE69-1E041757F26E}">
      <dsp:nvSpPr>
        <dsp:cNvPr id="0" name=""/>
        <dsp:cNvSpPr/>
      </dsp:nvSpPr>
      <dsp:spPr>
        <a:xfrm>
          <a:off x="1078461" y="6513161"/>
          <a:ext cx="1136090" cy="5676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spc="60" baseline="0">
              <a:latin typeface="Gibson" pitchFamily="2" charset="0"/>
              <a:cs typeface="Times New Roman" panose="02020603050405020304" pitchFamily="18" charset="0"/>
            </a:rPr>
            <a:t>CEA Registry</a:t>
          </a:r>
        </a:p>
      </dsp:txBody>
      <dsp:txXfrm>
        <a:off x="1078461" y="6513161"/>
        <a:ext cx="1136090" cy="567668"/>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B83E-D8DE-4593-8EAE-B25CA360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23</Pages>
  <Words>6686</Words>
  <Characters>41403</Characters>
  <Application>Microsoft Office Word</Application>
  <DocSecurity>0</DocSecurity>
  <Lines>345</Lines>
  <Paragraphs>95</Paragraphs>
  <ScaleCrop>false</ScaleCrop>
  <HeadingPairs>
    <vt:vector size="2" baseType="variant">
      <vt:variant>
        <vt:lpstr>Title</vt:lpstr>
      </vt:variant>
      <vt:variant>
        <vt:i4>1</vt:i4>
      </vt:variant>
    </vt:vector>
  </HeadingPairs>
  <TitlesOfParts>
    <vt:vector size="1" baseType="lpstr">
      <vt:lpstr>Reading notes</vt:lpstr>
    </vt:vector>
  </TitlesOfParts>
  <Company>Tufts Medical Center</Company>
  <LinksUpToDate>false</LinksUpToDate>
  <CharactersWithSpaces>47994</CharactersWithSpaces>
  <SharedDoc>false</SharedDoc>
  <HLinks>
    <vt:vector size="72" baseType="variant">
      <vt:variant>
        <vt:i4>1769482</vt:i4>
      </vt:variant>
      <vt:variant>
        <vt:i4>68</vt:i4>
      </vt:variant>
      <vt:variant>
        <vt:i4>0</vt:i4>
      </vt:variant>
      <vt:variant>
        <vt:i4>5</vt:i4>
      </vt:variant>
      <vt:variant>
        <vt:lpwstr/>
      </vt:variant>
      <vt:variant>
        <vt:lpwstr>_Toc296958843</vt:lpwstr>
      </vt:variant>
      <vt:variant>
        <vt:i4>1769483</vt:i4>
      </vt:variant>
      <vt:variant>
        <vt:i4>62</vt:i4>
      </vt:variant>
      <vt:variant>
        <vt:i4>0</vt:i4>
      </vt:variant>
      <vt:variant>
        <vt:i4>5</vt:i4>
      </vt:variant>
      <vt:variant>
        <vt:lpwstr/>
      </vt:variant>
      <vt:variant>
        <vt:lpwstr>_Toc296958842</vt:lpwstr>
      </vt:variant>
      <vt:variant>
        <vt:i4>1769480</vt:i4>
      </vt:variant>
      <vt:variant>
        <vt:i4>56</vt:i4>
      </vt:variant>
      <vt:variant>
        <vt:i4>0</vt:i4>
      </vt:variant>
      <vt:variant>
        <vt:i4>5</vt:i4>
      </vt:variant>
      <vt:variant>
        <vt:lpwstr/>
      </vt:variant>
      <vt:variant>
        <vt:lpwstr>_Toc296958841</vt:lpwstr>
      </vt:variant>
      <vt:variant>
        <vt:i4>1769481</vt:i4>
      </vt:variant>
      <vt:variant>
        <vt:i4>50</vt:i4>
      </vt:variant>
      <vt:variant>
        <vt:i4>0</vt:i4>
      </vt:variant>
      <vt:variant>
        <vt:i4>5</vt:i4>
      </vt:variant>
      <vt:variant>
        <vt:lpwstr/>
      </vt:variant>
      <vt:variant>
        <vt:lpwstr>_Toc296958840</vt:lpwstr>
      </vt:variant>
      <vt:variant>
        <vt:i4>1835008</vt:i4>
      </vt:variant>
      <vt:variant>
        <vt:i4>44</vt:i4>
      </vt:variant>
      <vt:variant>
        <vt:i4>0</vt:i4>
      </vt:variant>
      <vt:variant>
        <vt:i4>5</vt:i4>
      </vt:variant>
      <vt:variant>
        <vt:lpwstr/>
      </vt:variant>
      <vt:variant>
        <vt:lpwstr>_Toc296958839</vt:lpwstr>
      </vt:variant>
      <vt:variant>
        <vt:i4>1835009</vt:i4>
      </vt:variant>
      <vt:variant>
        <vt:i4>38</vt:i4>
      </vt:variant>
      <vt:variant>
        <vt:i4>0</vt:i4>
      </vt:variant>
      <vt:variant>
        <vt:i4>5</vt:i4>
      </vt:variant>
      <vt:variant>
        <vt:lpwstr/>
      </vt:variant>
      <vt:variant>
        <vt:lpwstr>_Toc296958838</vt:lpwstr>
      </vt:variant>
      <vt:variant>
        <vt:i4>1835022</vt:i4>
      </vt:variant>
      <vt:variant>
        <vt:i4>32</vt:i4>
      </vt:variant>
      <vt:variant>
        <vt:i4>0</vt:i4>
      </vt:variant>
      <vt:variant>
        <vt:i4>5</vt:i4>
      </vt:variant>
      <vt:variant>
        <vt:lpwstr/>
      </vt:variant>
      <vt:variant>
        <vt:lpwstr>_Toc296958837</vt:lpwstr>
      </vt:variant>
      <vt:variant>
        <vt:i4>1835023</vt:i4>
      </vt:variant>
      <vt:variant>
        <vt:i4>26</vt:i4>
      </vt:variant>
      <vt:variant>
        <vt:i4>0</vt:i4>
      </vt:variant>
      <vt:variant>
        <vt:i4>5</vt:i4>
      </vt:variant>
      <vt:variant>
        <vt:lpwstr/>
      </vt:variant>
      <vt:variant>
        <vt:lpwstr>_Toc296958836</vt:lpwstr>
      </vt:variant>
      <vt:variant>
        <vt:i4>1835020</vt:i4>
      </vt:variant>
      <vt:variant>
        <vt:i4>20</vt:i4>
      </vt:variant>
      <vt:variant>
        <vt:i4>0</vt:i4>
      </vt:variant>
      <vt:variant>
        <vt:i4>5</vt:i4>
      </vt:variant>
      <vt:variant>
        <vt:lpwstr/>
      </vt:variant>
      <vt:variant>
        <vt:lpwstr>_Toc296958835</vt:lpwstr>
      </vt:variant>
      <vt:variant>
        <vt:i4>1835021</vt:i4>
      </vt:variant>
      <vt:variant>
        <vt:i4>14</vt:i4>
      </vt:variant>
      <vt:variant>
        <vt:i4>0</vt:i4>
      </vt:variant>
      <vt:variant>
        <vt:i4>5</vt:i4>
      </vt:variant>
      <vt:variant>
        <vt:lpwstr/>
      </vt:variant>
      <vt:variant>
        <vt:lpwstr>_Toc296958834</vt:lpwstr>
      </vt:variant>
      <vt:variant>
        <vt:i4>1835018</vt:i4>
      </vt:variant>
      <vt:variant>
        <vt:i4>8</vt:i4>
      </vt:variant>
      <vt:variant>
        <vt:i4>0</vt:i4>
      </vt:variant>
      <vt:variant>
        <vt:i4>5</vt:i4>
      </vt:variant>
      <vt:variant>
        <vt:lpwstr/>
      </vt:variant>
      <vt:variant>
        <vt:lpwstr>_Toc296958833</vt:lpwstr>
      </vt:variant>
      <vt:variant>
        <vt:i4>1835019</vt:i4>
      </vt:variant>
      <vt:variant>
        <vt:i4>2</vt:i4>
      </vt:variant>
      <vt:variant>
        <vt:i4>0</vt:i4>
      </vt:variant>
      <vt:variant>
        <vt:i4>5</vt:i4>
      </vt:variant>
      <vt:variant>
        <vt:lpwstr/>
      </vt:variant>
      <vt:variant>
        <vt:lpwstr>_Toc296958832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notes</dc:title>
  <dc:creator>Patty Stone</dc:creator>
  <cp:lastModifiedBy>Do, Lauren A</cp:lastModifiedBy>
  <cp:revision>9</cp:revision>
  <cp:lastPrinted>2021-10-14T17:57:00Z</cp:lastPrinted>
  <dcterms:created xsi:type="dcterms:W3CDTF">2022-03-01T15:41:00Z</dcterms:created>
  <dcterms:modified xsi:type="dcterms:W3CDTF">2023-06-13T16:45:00Z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